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center"/>
        <w:textAlignment w:val="baseline"/>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i w:val="0"/>
          <w:iCs w:val="0"/>
          <w:caps w:val="0"/>
          <w:color w:val="auto"/>
          <w:spacing w:val="0"/>
          <w:sz w:val="44"/>
          <w:szCs w:val="44"/>
          <w:lang w:val="en-US" w:eastAsia="zh-CN"/>
        </w:rPr>
        <w:t>东洲区应急局</w:t>
      </w:r>
      <w:r>
        <w:rPr>
          <w:rFonts w:hint="eastAsia" w:ascii="方正小标宋简体" w:hAnsi="方正小标宋简体" w:eastAsia="方正小标宋简体" w:cs="方正小标宋简体"/>
          <w:i w:val="0"/>
          <w:iCs w:val="0"/>
          <w:caps w:val="0"/>
          <w:color w:val="auto"/>
          <w:spacing w:val="0"/>
          <w:sz w:val="44"/>
          <w:szCs w:val="44"/>
        </w:rPr>
        <w:t>2022年行政执法检查结果公示</w:t>
      </w:r>
    </w:p>
    <w:tbl>
      <w:tblPr>
        <w:tblStyle w:val="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73"/>
        <w:gridCol w:w="819"/>
        <w:gridCol w:w="7769"/>
        <w:gridCol w:w="946"/>
        <w:gridCol w:w="41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473"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序号</w:t>
            </w:r>
          </w:p>
        </w:tc>
        <w:tc>
          <w:tcPr>
            <w:tcW w:w="819"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检查对象</w:t>
            </w:r>
          </w:p>
        </w:tc>
        <w:tc>
          <w:tcPr>
            <w:tcW w:w="0" w:type="auto"/>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lang w:val="en-US" w:eastAsia="zh-CN" w:bidi="ar"/>
              </w:rPr>
              <w:t>检查事项</w:t>
            </w:r>
          </w:p>
        </w:tc>
        <w:tc>
          <w:tcPr>
            <w:tcW w:w="0" w:type="auto"/>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lang w:val="en-US" w:eastAsia="zh-CN" w:bidi="ar"/>
              </w:rPr>
              <w:t>检查日期</w:t>
            </w:r>
          </w:p>
        </w:tc>
        <w:tc>
          <w:tcPr>
            <w:tcW w:w="0" w:type="auto"/>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lang w:val="en-US" w:eastAsia="zh-CN" w:bidi="ar"/>
              </w:rPr>
              <w:t>检查结果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5" w:hRule="atLeast"/>
          <w:jc w:val="center"/>
        </w:trPr>
        <w:tc>
          <w:tcPr>
            <w:tcW w:w="473" w:type="dxa"/>
            <w:tcBorders>
              <w:top w:val="nil"/>
              <w:left w:val="single" w:color="000000" w:sz="8" w:space="0"/>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w:t>
            </w:r>
          </w:p>
        </w:tc>
        <w:tc>
          <w:tcPr>
            <w:tcW w:w="819" w:type="dxa"/>
            <w:tcBorders>
              <w:top w:val="nil"/>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nil"/>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辽宁省应急管理厅关于印发《辽宁省金属非金属地下矿山动火作业安全管理指导意见的通知》（辽应急规范〔2021〕2号）和东洲区安委会关于印发《全区安全生产专项整治三年行动实施方案的通知》（东安委〔2020〕35号）、抚顺市东洲区应急管理局关于印发《东洲区非煤矿山安全生产“冬季百日集中攻坚战”工作方案的通知》（东应急〔2021〕38号）的文件要求，对该公司开展“冬季百日集中攻坚战”安全专项检查。</w:t>
            </w:r>
          </w:p>
        </w:tc>
        <w:tc>
          <w:tcPr>
            <w:tcW w:w="0" w:type="auto"/>
            <w:tcBorders>
              <w:top w:val="nil"/>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2022年2月23日至25日</w:t>
            </w:r>
          </w:p>
        </w:tc>
        <w:tc>
          <w:tcPr>
            <w:tcW w:w="0" w:type="auto"/>
            <w:tcBorders>
              <w:top w:val="nil"/>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1.地下矿山中央变电所门口未安设防鼠板、应急照明灯。</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2.地下矿山部分采场个别地点未安设照明灯。</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3.地下矿山井下+20分段2处岔路未安设安全警示标志。</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4.通风工、安全检查工、排水工、巡坝工等特种作业人员各有1人持证上岗，不能满足日常工作需要。</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5.地下矿山工作面回采结束后部分进路巷道未按规定及时进行封闭。</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6.地下矿山+20m中段3+1川局部通风机安设位置不正确，未将局部通风机安设到工作面10m范围内。</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决定对该单位进行处罚，给予处人民币伍万元整（￥50，000.00）的行政处罚。罚款已经缴纳。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9"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2</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辽宁省应急管理厅关于印发《辽宁省金属非金属地下矿山动火作业安全管理指导意见的通知》（辽应急规范〔2021〕2号）和东洲区安委会关于印发《全区安全生产专项整治三年行动实施方案的通知》（东安委〔2020〕35号）的文件要求，对该公司开展安全检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2022年4月12日至13日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1.矿提供的设备检修制度未明确检修时间、检修形式。</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2.矿未对井下有毒气体进行取样分析。</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决定对该单位进行处罚，给予处人民币壹万元整（￥10，000.00）的行政处罚。罚款已经缴纳。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3"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w:t>
            </w: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辽宁省应急管理厅关于印发《辽宁省金属非金属地下矿山动火作业安全管理指导意见的通知》（辽应急规范〔2021〕2号）和东洲区安委会关于印发《全区安全生产专项整治三年行动实施方案的通知》（东安委〔2020〕35号）的文件要求，对该公司开展“四不两直”安全检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2022年4月18日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从业人员生产工作时，未按照规定佩戴安全帽，相关负责人员未进行制止。决定对该单位及相关责任人进行处罚，给予处人民币壹万壹仟元整（￥11，000.00）的行政处罚。罚款已经缴纳。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10" w:hRule="atLeast"/>
          <w:jc w:val="center"/>
        </w:trPr>
        <w:tc>
          <w:tcPr>
            <w:tcW w:w="473" w:type="dxa"/>
            <w:tcBorders>
              <w:top w:val="single" w:color="auto" w:sz="4" w:space="0"/>
              <w:left w:val="single" w:color="000000" w:sz="8" w:space="0"/>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4</w:t>
            </w:r>
          </w:p>
        </w:tc>
        <w:tc>
          <w:tcPr>
            <w:tcW w:w="819" w:type="dxa"/>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东洲区安委会关于印发《全区安全生产专项整治三年行动实施方案的通知》（东安委〔2020〕35号）、《关于印发&lt;全区安全生产大检查实施方案&gt;的通知》(东安委〔2022〕6号)的文件要求，对该公司开展安全检查。</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2022年5月9日</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1.监控室无管理制度，检查时无人在岗。</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2.井工开采使用斜坡道运输人员，存在非专用运人车升入井现象。</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3.井下1#、2#斜坡道风门处于敞开状态，其他贯通巷道无通风设施。</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决定对该单位及相关责任人进行处罚，给予处人民币肆万玖仟元整（￥49，000.00）的行政处罚。罚款已经缴纳。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39"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5</w:t>
            </w: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国家矿山安全监察局关于印发《关于进一步强化安全生产责任落实坚决防范遏制矿山重特大事故的若干措施》（矿安〔2022〕70号）、东洲区安委会关于印发《全区安全生产专项整治三年行动实施方案的通知》（东安委〔2022〕35号）、《关于印发&lt;全区安全生产大检查实施方案&gt;的通知》(东安委〔2022〕6号)的文件要求，对该公司开展安全生产大检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2022年6月27日至30日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1.矿未提供一号尾矿库回采安全管理制度、回采施工计划、汛期应急处置方案。</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2.查矿提供的《安全生产费用计提表》，3月份露天采场生产矿石84945.32吨，超过该矿月核定生产能力。</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决定对该单位及相关责任人进行处罚，给予处人民币肆万元整（￥40，000.00）</w:t>
            </w:r>
            <w:r>
              <w:rPr>
                <w:rFonts w:hint="eastAsia" w:ascii="仿宋" w:hAnsi="仿宋" w:eastAsia="仿宋" w:cs="仿宋"/>
                <w:i w:val="0"/>
                <w:iCs w:val="0"/>
                <w:color w:val="121212"/>
                <w:kern w:val="0"/>
                <w:sz w:val="18"/>
                <w:szCs w:val="18"/>
                <w:u w:val="none"/>
                <w:lang w:val="en-US" w:eastAsia="zh-CN" w:bidi="ar"/>
              </w:rPr>
              <w:t>的</w:t>
            </w:r>
            <w:r>
              <w:rPr>
                <w:rFonts w:hint="eastAsia" w:ascii="仿宋" w:hAnsi="仿宋" w:eastAsia="仿宋" w:cs="仿宋"/>
                <w:i w:val="0"/>
                <w:iCs w:val="0"/>
                <w:color w:val="000000"/>
                <w:kern w:val="0"/>
                <w:sz w:val="18"/>
                <w:szCs w:val="18"/>
                <w:u w:val="none"/>
                <w:lang w:val="en-US" w:eastAsia="zh-CN" w:bidi="ar"/>
              </w:rPr>
              <w:t>行政处罚</w:t>
            </w:r>
            <w:r>
              <w:rPr>
                <w:rStyle w:val="11"/>
                <w:lang w:val="en-US" w:eastAsia="zh-CN" w:bidi="ar"/>
              </w:rPr>
              <w:t>。</w:t>
            </w:r>
            <w:r>
              <w:rPr>
                <w:rFonts w:hint="eastAsia" w:ascii="仿宋" w:hAnsi="仿宋" w:eastAsia="仿宋" w:cs="仿宋"/>
                <w:i w:val="0"/>
                <w:iCs w:val="0"/>
                <w:color w:val="000000"/>
                <w:kern w:val="0"/>
                <w:sz w:val="18"/>
                <w:szCs w:val="18"/>
                <w:u w:val="none"/>
                <w:lang w:val="en-US" w:eastAsia="zh-CN" w:bidi="ar"/>
              </w:rPr>
              <w:t>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4"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6</w:t>
            </w: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国家矿山安全监察局关于印发《关于进一步强化安全生产责任落实坚决防范遏制矿山重特大事故的若干措施》（矿安〔2022〕70号）、抚顺市安委会办公室关于印发《抚顺市安委会办公室关于深化非煤矿山安全专项整治三年行动推进治本攻坚的通知》（抚安委办〔2022〕13号）、《转发辽宁省应急管理厅国家矿山安全监察局辽宁局辽宁省地方煤矿安全监管局关于深刻汲取事故教训切实做好矿山安全生产工作的紧急通知》（抚应急非煤〔2022〕127号）、抚顺市应急管理局印发《关于从严从实做好2022年度防汛抗旱准备工作的通知》（抚应急〔2022〕66号）、东洲区安委会关于印发《全区安全生产专项整治三年行动实施方案的通知》（东安委〔2020〕35号）、《关于印发&lt;全区安全生产大检查实施方案&gt;的通知》(东安委〔2022〕6号)的文件要求，对该公司开展安全生产大检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8月17日至19日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1.地下矿山项目部井下排水作业人员徐广财未取得金属非金属矿山排水作业证。</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2.查人员定位系统，矿总工程师王岩在2022年8月8日0点班、8月10日16点班、8月12日8点班、8月14日0点班、8月16日16点班、8月18日8点班未在井下进行带班工作。</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决定对该单位及相关责任人进行处罚，给予处人民币陆万元整（￥60，000.00）</w:t>
            </w:r>
            <w:r>
              <w:rPr>
                <w:rFonts w:hint="eastAsia" w:ascii="仿宋" w:hAnsi="仿宋" w:eastAsia="仿宋" w:cs="仿宋"/>
                <w:i w:val="0"/>
                <w:iCs w:val="0"/>
                <w:color w:val="121212"/>
                <w:kern w:val="0"/>
                <w:sz w:val="18"/>
                <w:szCs w:val="18"/>
                <w:u w:val="none"/>
                <w:lang w:val="en-US" w:eastAsia="zh-CN" w:bidi="ar"/>
              </w:rPr>
              <w:t>的</w:t>
            </w:r>
            <w:r>
              <w:rPr>
                <w:rFonts w:hint="eastAsia" w:ascii="仿宋" w:hAnsi="仿宋" w:eastAsia="仿宋" w:cs="仿宋"/>
                <w:i w:val="0"/>
                <w:iCs w:val="0"/>
                <w:color w:val="000000"/>
                <w:kern w:val="0"/>
                <w:sz w:val="18"/>
                <w:szCs w:val="18"/>
                <w:u w:val="none"/>
                <w:lang w:val="en-US" w:eastAsia="zh-CN" w:bidi="ar"/>
              </w:rPr>
              <w:t>行政处罚</w:t>
            </w:r>
            <w:r>
              <w:rPr>
                <w:rStyle w:val="11"/>
                <w:lang w:val="en-US" w:eastAsia="zh-CN" w:bidi="ar"/>
              </w:rPr>
              <w:t>。</w:t>
            </w:r>
            <w:r>
              <w:rPr>
                <w:rFonts w:hint="eastAsia" w:ascii="仿宋" w:hAnsi="仿宋" w:eastAsia="仿宋" w:cs="仿宋"/>
                <w:i w:val="0"/>
                <w:iCs w:val="0"/>
                <w:color w:val="000000"/>
                <w:kern w:val="0"/>
                <w:sz w:val="18"/>
                <w:szCs w:val="18"/>
                <w:u w:val="none"/>
                <w:lang w:val="en-US" w:eastAsia="zh-CN" w:bidi="ar"/>
              </w:rPr>
              <w:t>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0" w:hRule="atLeast"/>
          <w:jc w:val="center"/>
        </w:trPr>
        <w:tc>
          <w:tcPr>
            <w:tcW w:w="473" w:type="dxa"/>
            <w:tcBorders>
              <w:top w:val="single" w:color="auto" w:sz="4" w:space="0"/>
              <w:left w:val="single" w:color="000000" w:sz="8" w:space="0"/>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7</w:t>
            </w:r>
          </w:p>
        </w:tc>
        <w:tc>
          <w:tcPr>
            <w:tcW w:w="819" w:type="dxa"/>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抚顺兴洲矿业有限公司</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国家矿山安全监察局关于印发《2022年矿山安全生产工作要点的通知》（矿安〔2022〕2号）、《关于加强非煤矿山安全生产工作的指导意见的通知》（矿安〔2022〕4号）、《关于进一步强化安全生产责任落实坚决防范遏制矿山重特大事故的若干措施》（矿安〔2022〕70号）、市安委会办公室关于印发《抚顺市安委会办公室关于深化非煤矿山安全专项整治三年行动推进治本攻坚的通知》（抚安委办〔2022〕13号）、《转发辽宁省应急管理厅国家矿山安全监察局辽宁局辽宁省地方煤矿安全监管局关于深刻汲取事故教训切实做好矿山安全生产工作的紧急通知》（抚应急非煤〔2022〕127号）、区安委会关于印发《全区安全生产专项整治三年行动实施方案的通知》（东安委〔2020〕35号）、《关于印发&lt;全区安全生产大检查实施方案&gt;的通知》(东安委〔2022〕6号)的文件要求，对该公司开展安全生产检查。</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2022年9月30日</w:t>
            </w:r>
          </w:p>
        </w:tc>
        <w:tc>
          <w:tcPr>
            <w:tcW w:w="0" w:type="auto"/>
            <w:tcBorders>
              <w:top w:val="single" w:color="auto" w:sz="4" w:space="0"/>
              <w:left w:val="nil"/>
              <w:bottom w:val="single" w:color="auto"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1.地下矿山项目部40米变电所内未悬挂供电系统图，无绝缘用具。</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2.地下矿山项目部40米中段避难硐室穿墙线路套管未封堵。</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3.地下矿山项目部40米中段21+1川顶板岩石层理、节理发育，未采取支护措施。</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4.地下矿山项目部井未制定专项应急救援预案，使用事故应急救援措施代替。</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5.地下矿山项目部8月份未按照2022年应急救援演练计划开展放炮事故专项应急演练。</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6.地下矿山项目部地面变电所内未悬挂供电系统图，高、低压开关未悬挂设备标志牌。</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7.二号尾矿库排洪系统质量检测报告中仅对辅助排洪井进行了检测，未对2#排水井进行检测。</w:t>
            </w:r>
          </w:p>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决定对该单位进行处罚，给予处人民币壹拾肆万元整（￥140，000.00）的行政处罚。罚款已经缴纳。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5"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18"/>
                <w:szCs w:val="18"/>
                <w:u w:val="none"/>
                <w:lang w:val="en-US" w:eastAsia="zh-CN" w:bidi="ar"/>
              </w:rPr>
              <w:t>8</w:t>
            </w: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抚顺市兴丰碳素有限公司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按照《全市制造业行业领域安全生产“冬季百日集中攻坚战”工作方案》、安全生产三年专项整治、“两会”、冬残奥会及全区制造业企业安全会议的工作要求</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2022年3月8日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对</w:t>
            </w:r>
            <w:r>
              <w:rPr>
                <w:rFonts w:hint="eastAsia" w:ascii="仿宋" w:hAnsi="仿宋" w:eastAsia="仿宋" w:cs="仿宋"/>
                <w:i w:val="0"/>
                <w:iCs w:val="0"/>
                <w:color w:val="000000"/>
                <w:kern w:val="0"/>
                <w:sz w:val="21"/>
                <w:szCs w:val="21"/>
                <w:u w:val="none"/>
                <w:lang w:val="en-US" w:eastAsia="zh-CN" w:bidi="ar"/>
              </w:rPr>
              <w:t>企业主要负责人未建立健全并落实本单位全员安全生产责任制进行行政处罚，金额贰万元，已经缴纳。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jc w:val="center"/>
        </w:trPr>
        <w:tc>
          <w:tcPr>
            <w:tcW w:w="47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18"/>
                <w:szCs w:val="18"/>
                <w:u w:val="none"/>
                <w:lang w:val="en-US" w:eastAsia="zh-CN" w:bidi="ar"/>
              </w:rPr>
              <w:t>9</w:t>
            </w:r>
          </w:p>
        </w:tc>
        <w:tc>
          <w:tcPr>
            <w:tcW w:w="8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抚顺顺达实业有限公司</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接到群众举报到抚顺顺达实业有限公司进行夜间突击检查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2022年7月20日</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对抚顺顺达实业有限公司未消除事故隐患进行行政处罚，</w:t>
            </w:r>
            <w:r>
              <w:rPr>
                <w:rFonts w:hint="eastAsia" w:ascii="仿宋" w:hAnsi="仿宋" w:eastAsia="仿宋" w:cs="仿宋"/>
                <w:i w:val="0"/>
                <w:iCs w:val="0"/>
                <w:color w:val="000000"/>
                <w:kern w:val="0"/>
                <w:sz w:val="21"/>
                <w:szCs w:val="21"/>
                <w:u w:val="none"/>
                <w:lang w:val="en-US" w:eastAsia="zh-CN" w:bidi="ar"/>
              </w:rPr>
              <w:t>金额贰万元，已经缴纳。</w:t>
            </w:r>
          </w:p>
        </w:tc>
      </w:tr>
    </w:tbl>
    <w:p>
      <w:pPr>
        <w:rPr>
          <w:rFonts w:hint="eastAsia" w:ascii="仿宋" w:hAnsi="仿宋" w:eastAsia="仿宋" w:cs="仿宋"/>
          <w:sz w:val="18"/>
          <w:szCs w:val="18"/>
        </w:rPr>
      </w:pPr>
      <w:bookmarkStart w:id="0" w:name="_GoBack"/>
      <w:bookmarkEnd w:id="0"/>
    </w:p>
    <w:sectPr>
      <w:footerReference r:id="rId3"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iYWI5OGE5MTZhMGI5Zjk3NzZhY2U1YzI1MjNmYmMifQ=="/>
  </w:docVars>
  <w:rsids>
    <w:rsidRoot w:val="220A125F"/>
    <w:rsid w:val="012F3222"/>
    <w:rsid w:val="05B178CA"/>
    <w:rsid w:val="1D24052A"/>
    <w:rsid w:val="220A125F"/>
    <w:rsid w:val="2C40310F"/>
    <w:rsid w:val="2E7D5AE7"/>
    <w:rsid w:val="2FF7D9A2"/>
    <w:rsid w:val="307C3588"/>
    <w:rsid w:val="34F8591D"/>
    <w:rsid w:val="3933496B"/>
    <w:rsid w:val="3D5F61D9"/>
    <w:rsid w:val="4A735A25"/>
    <w:rsid w:val="4DAF65B6"/>
    <w:rsid w:val="5C34510D"/>
    <w:rsid w:val="63C86BF3"/>
    <w:rsid w:val="641461CF"/>
    <w:rsid w:val="66C71A2A"/>
    <w:rsid w:val="693B5FAC"/>
    <w:rsid w:val="6A026ACA"/>
    <w:rsid w:val="6A2D62D3"/>
    <w:rsid w:val="6BB1045D"/>
    <w:rsid w:val="70C531AC"/>
    <w:rsid w:val="79F450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7">
    <w:name w:val="font61"/>
    <w:basedOn w:val="6"/>
    <w:qFormat/>
    <w:uiPriority w:val="0"/>
    <w:rPr>
      <w:rFonts w:hint="eastAsia" w:ascii="仿宋" w:hAnsi="仿宋" w:eastAsia="仿宋" w:cs="仿宋"/>
      <w:color w:val="000000"/>
      <w:sz w:val="18"/>
      <w:szCs w:val="18"/>
      <w:u w:val="none"/>
    </w:rPr>
  </w:style>
  <w:style w:type="character" w:customStyle="1" w:styleId="8">
    <w:name w:val="font01"/>
    <w:basedOn w:val="6"/>
    <w:qFormat/>
    <w:uiPriority w:val="0"/>
    <w:rPr>
      <w:rFonts w:hint="eastAsia" w:ascii="仿宋" w:hAnsi="仿宋" w:eastAsia="仿宋" w:cs="仿宋"/>
      <w:color w:val="121212"/>
      <w:sz w:val="18"/>
      <w:szCs w:val="18"/>
      <w:u w:val="none"/>
    </w:rPr>
  </w:style>
  <w:style w:type="character" w:customStyle="1" w:styleId="9">
    <w:name w:val="font41"/>
    <w:basedOn w:val="6"/>
    <w:qFormat/>
    <w:uiPriority w:val="0"/>
    <w:rPr>
      <w:rFonts w:hint="eastAsia" w:ascii="仿宋" w:hAnsi="仿宋" w:eastAsia="仿宋" w:cs="仿宋"/>
      <w:color w:val="000000"/>
      <w:sz w:val="18"/>
      <w:szCs w:val="18"/>
      <w:u w:val="none"/>
    </w:rPr>
  </w:style>
  <w:style w:type="character" w:customStyle="1" w:styleId="10">
    <w:name w:val="font21"/>
    <w:basedOn w:val="6"/>
    <w:qFormat/>
    <w:uiPriority w:val="0"/>
    <w:rPr>
      <w:rFonts w:hint="eastAsia" w:ascii="仿宋" w:hAnsi="仿宋" w:eastAsia="仿宋" w:cs="仿宋"/>
      <w:color w:val="000000"/>
      <w:sz w:val="21"/>
      <w:szCs w:val="21"/>
      <w:u w:val="none"/>
    </w:rPr>
  </w:style>
  <w:style w:type="character" w:customStyle="1" w:styleId="11">
    <w:name w:val="font51"/>
    <w:basedOn w:val="6"/>
    <w:qFormat/>
    <w:uiPriority w:val="0"/>
    <w:rPr>
      <w:rFonts w:hint="eastAsia" w:ascii="仿宋" w:hAnsi="仿宋" w:eastAsia="仿宋" w:cs="仿宋"/>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3271</Words>
  <Characters>3565</Characters>
  <Lines>1</Lines>
  <Paragraphs>1</Paragraphs>
  <TotalTime>2</TotalTime>
  <ScaleCrop>false</ScaleCrop>
  <LinksUpToDate>false</LinksUpToDate>
  <CharactersWithSpaces>3565</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2023-04-23T13:38:00Z</dcterms:created>
  <dc:creator>*冬*</dc:creator>
  <cp:lastModifiedBy>fushunshi</cp:lastModifiedBy>
  <cp:lastPrinted>2023-04-23T16:12:00Z</cp:lastPrinted>
  <dcterms:modified xsi:type="dcterms:W3CDTF">2023-05-22T15:18:42Z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67ADC31938C54282B2AF452D176A7E05_13</vt:lpwstr>
  </property>
</Properties>
</file>