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eastAsia="宋体" w:cs="Times New Roman"/>
        </w:rPr>
      </w:pPr>
    </w:p>
    <w:p>
      <w:pPr>
        <w:rPr>
          <w:rFonts w:ascii="Times New Roman" w:hAnsi="Times New Roman" w:eastAsia="宋体" w:cs="Times New Roman"/>
        </w:rPr>
      </w:pPr>
    </w:p>
    <w:p>
      <w:pPr>
        <w:tabs>
          <w:tab w:val="center" w:pos="4514"/>
          <w:tab w:val="right" w:pos="8306"/>
        </w:tabs>
        <w:ind w:firstLine="0" w:firstLineChars="0"/>
        <w:jc w:val="center"/>
        <w:rPr>
          <w:rFonts w:ascii="Times New Roman" w:hAnsi="Times New Roman" w:eastAsia="宋体" w:cs="Times New Roman"/>
          <w:b/>
          <w:sz w:val="36"/>
          <w:szCs w:val="36"/>
        </w:rPr>
      </w:pPr>
      <w:r>
        <w:rPr>
          <w:rFonts w:ascii="Times New Roman" w:hAnsi="Times New Roman" w:eastAsia="宋体" w:cs="Times New Roman"/>
          <w:b/>
          <w:sz w:val="36"/>
          <w:szCs w:val="36"/>
        </w:rPr>
        <w:t>抚顺市东洲区2023年土地征收成片开发方案</w:t>
      </w:r>
    </w:p>
    <w:p>
      <w:pPr>
        <w:tabs>
          <w:tab w:val="center" w:pos="4514"/>
          <w:tab w:val="right" w:pos="8306"/>
        </w:tabs>
        <w:ind w:firstLine="0" w:firstLineChars="0"/>
        <w:jc w:val="center"/>
        <w:rPr>
          <w:rFonts w:ascii="Times New Roman" w:hAnsi="Times New Roman" w:eastAsia="宋体" w:cs="Times New Roman"/>
          <w:b/>
          <w:sz w:val="36"/>
          <w:szCs w:val="36"/>
        </w:rPr>
      </w:pPr>
      <w:r>
        <w:rPr>
          <w:rFonts w:ascii="Times New Roman" w:hAnsi="Times New Roman" w:eastAsia="宋体" w:cs="Times New Roman"/>
          <w:b/>
          <w:sz w:val="36"/>
          <w:szCs w:val="36"/>
        </w:rPr>
        <w:t>（第</w:t>
      </w:r>
      <w:r>
        <w:rPr>
          <w:rFonts w:hint="eastAsia" w:ascii="Times New Roman" w:hAnsi="Times New Roman" w:eastAsia="宋体" w:cs="Times New Roman"/>
          <w:b/>
          <w:sz w:val="36"/>
          <w:szCs w:val="36"/>
        </w:rPr>
        <w:t>3</w:t>
      </w:r>
      <w:r>
        <w:rPr>
          <w:rFonts w:ascii="Times New Roman" w:hAnsi="Times New Roman" w:eastAsia="宋体" w:cs="Times New Roman"/>
          <w:b/>
          <w:sz w:val="36"/>
          <w:szCs w:val="36"/>
        </w:rPr>
        <w:t>批）</w:t>
      </w:r>
    </w:p>
    <w:p>
      <w:pPr>
        <w:tabs>
          <w:tab w:val="center" w:pos="4514"/>
          <w:tab w:val="right" w:pos="8306"/>
        </w:tabs>
        <w:ind w:firstLine="0" w:firstLineChars="0"/>
        <w:jc w:val="center"/>
        <w:rPr>
          <w:rFonts w:ascii="Times New Roman" w:hAnsi="Times New Roman" w:eastAsia="宋体" w:cs="Times New Roman"/>
          <w:b/>
          <w:sz w:val="36"/>
          <w:szCs w:val="36"/>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ind w:firstLine="0" w:firstLineChars="0"/>
        <w:jc w:val="center"/>
        <w:rPr>
          <w:rFonts w:ascii="Times New Roman" w:hAnsi="Times New Roman" w:eastAsia="宋体" w:cs="Times New Roman"/>
          <w:sz w:val="32"/>
        </w:rPr>
      </w:pPr>
      <w:r>
        <w:rPr>
          <w:rFonts w:ascii="Times New Roman" w:hAnsi="Times New Roman" w:eastAsia="宋体" w:cs="Times New Roman"/>
          <w:sz w:val="32"/>
        </w:rPr>
        <w:t>抚顺市东洲区人民政府</w:t>
      </w:r>
    </w:p>
    <w:p>
      <w:pPr>
        <w:ind w:firstLine="0" w:firstLineChars="0"/>
        <w:jc w:val="center"/>
        <w:rPr>
          <w:rFonts w:ascii="Times New Roman" w:hAnsi="Times New Roman" w:eastAsia="宋体" w:cs="Times New Roman"/>
          <w:sz w:val="32"/>
        </w:rPr>
      </w:pPr>
      <w:r>
        <w:rPr>
          <w:rFonts w:ascii="Times New Roman" w:hAnsi="Times New Roman" w:eastAsia="宋体" w:cs="Times New Roman"/>
          <w:sz w:val="32"/>
        </w:rPr>
        <w:t>二〇二三年</w:t>
      </w:r>
      <w:r>
        <w:rPr>
          <w:rFonts w:hint="eastAsia" w:ascii="Times New Roman" w:hAnsi="Times New Roman" w:eastAsia="宋体" w:cs="Times New Roman"/>
          <w:sz w:val="32"/>
        </w:rPr>
        <w:t>十一</w:t>
      </w:r>
      <w:r>
        <w:rPr>
          <w:rFonts w:ascii="Times New Roman" w:hAnsi="Times New Roman" w:eastAsia="宋体" w:cs="Times New Roman"/>
          <w:sz w:val="32"/>
        </w:rPr>
        <w:t>月</w:t>
      </w:r>
    </w:p>
    <w:p>
      <w:pPr>
        <w:ind w:firstLine="0" w:firstLineChars="0"/>
        <w:jc w:val="center"/>
        <w:rPr>
          <w:rFonts w:ascii="Times New Roman" w:hAnsi="Times New Roman" w:eastAsia="宋体" w:cs="Times New Roman"/>
          <w:sz w:val="32"/>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titlePg/>
          <w:docGrid w:type="lines" w:linePitch="381" w:charSpace="0"/>
        </w:sectPr>
      </w:pPr>
    </w:p>
    <w:p>
      <w:pPr>
        <w:ind w:firstLine="0" w:firstLineChars="0"/>
        <w:jc w:val="center"/>
        <w:rPr>
          <w:rFonts w:ascii="Times New Roman" w:hAnsi="Times New Roman" w:eastAsia="宋体" w:cs="Times New Roman"/>
          <w:sz w:val="32"/>
        </w:rPr>
      </w:pPr>
      <w:r>
        <w:rPr>
          <w:rFonts w:ascii="Times New Roman" w:hAnsi="Times New Roman" w:eastAsia="宋体" w:cs="Times New Roman"/>
          <w:sz w:val="32"/>
        </w:rPr>
        <w:drawing>
          <wp:inline distT="0" distB="0" distL="0" distR="0">
            <wp:extent cx="5260975" cy="3788410"/>
            <wp:effectExtent l="0" t="0" r="0" b="2540"/>
            <wp:docPr id="14"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true" noChangeArrowheads="true"/>
                    </pic:cNvPicPr>
                  </pic:nvPicPr>
                  <pic:blipFill>
                    <a:blip r:embed="rId15" cstate="print">
                      <a:extLst>
                        <a:ext uri="{28A0092B-C50C-407E-A947-70E740481C1C}">
                          <a14:useLocalDpi xmlns:a14="http://schemas.microsoft.com/office/drawing/2010/main" val="false"/>
                        </a:ext>
                      </a:extLst>
                    </a:blip>
                    <a:srcRect/>
                    <a:stretch>
                      <a:fillRect/>
                    </a:stretch>
                  </pic:blipFill>
                  <pic:spPr>
                    <a:xfrm>
                      <a:off x="0" y="0"/>
                      <a:ext cx="5260975" cy="3788410"/>
                    </a:xfrm>
                    <a:prstGeom prst="rect">
                      <a:avLst/>
                    </a:prstGeom>
                    <a:noFill/>
                    <a:ln>
                      <a:noFill/>
                    </a:ln>
                  </pic:spPr>
                </pic:pic>
              </a:graphicData>
            </a:graphic>
          </wp:inline>
        </w:drawing>
      </w:r>
    </w:p>
    <w:p>
      <w:pPr>
        <w:spacing w:line="600" w:lineRule="auto"/>
        <w:ind w:left="1405" w:hanging="1405" w:hangingChars="500"/>
        <w:rPr>
          <w:rFonts w:ascii="Times New Roman" w:hAnsi="Times New Roman" w:cs="Times New Roman"/>
          <w:b/>
          <w:szCs w:val="32"/>
        </w:rPr>
      </w:pPr>
      <w:r>
        <w:rPr>
          <w:rFonts w:ascii="Times New Roman" w:hAnsi="Times New Roman" w:cs="Times New Roman"/>
          <w:b/>
          <w:szCs w:val="32"/>
        </w:rPr>
        <w:t>项目名称：抚顺市东洲区2023年土地征收成片开发方案（第</w:t>
      </w:r>
      <w:r>
        <w:rPr>
          <w:rFonts w:hint="eastAsia" w:ascii="Times New Roman" w:hAnsi="Times New Roman" w:cs="Times New Roman"/>
          <w:b/>
          <w:szCs w:val="32"/>
        </w:rPr>
        <w:t>3</w:t>
      </w:r>
      <w:r>
        <w:rPr>
          <w:rFonts w:ascii="Times New Roman" w:hAnsi="Times New Roman" w:cs="Times New Roman"/>
          <w:b/>
          <w:szCs w:val="32"/>
        </w:rPr>
        <w:t>批）</w:t>
      </w:r>
    </w:p>
    <w:p>
      <w:pPr>
        <w:spacing w:line="600" w:lineRule="auto"/>
        <w:ind w:firstLine="0" w:firstLineChars="0"/>
        <w:rPr>
          <w:rFonts w:ascii="Times New Roman" w:hAnsi="Times New Roman" w:cs="Times New Roman"/>
          <w:b/>
          <w:szCs w:val="32"/>
        </w:rPr>
      </w:pPr>
      <w:r>
        <w:rPr>
          <w:rFonts w:ascii="Times New Roman" w:hAnsi="Times New Roman" w:cs="Times New Roman"/>
          <w:b/>
          <w:szCs w:val="32"/>
        </w:rPr>
        <w:t>实施主体：抚顺市东洲区人民政府</w:t>
      </w:r>
    </w:p>
    <w:p>
      <w:pPr>
        <w:spacing w:line="600" w:lineRule="auto"/>
        <w:ind w:firstLine="0" w:firstLineChars="0"/>
        <w:rPr>
          <w:rFonts w:ascii="Times New Roman" w:hAnsi="Times New Roman" w:cs="Times New Roman"/>
          <w:b/>
          <w:szCs w:val="32"/>
        </w:rPr>
      </w:pPr>
      <w:r>
        <w:rPr>
          <w:rFonts w:ascii="Times New Roman" w:hAnsi="Times New Roman" w:cs="Times New Roman"/>
          <w:b/>
          <w:szCs w:val="32"/>
        </w:rPr>
        <w:t>组织单位：抚顺市自然资源局东洲分局</w:t>
      </w:r>
    </w:p>
    <w:p>
      <w:pPr>
        <w:spacing w:line="600" w:lineRule="auto"/>
        <w:ind w:firstLine="0" w:firstLineChars="0"/>
        <w:rPr>
          <w:rFonts w:ascii="Times New Roman" w:hAnsi="Times New Roman" w:cs="Times New Roman"/>
          <w:b/>
          <w:szCs w:val="32"/>
        </w:rPr>
      </w:pPr>
      <w:r>
        <w:rPr>
          <w:rFonts w:ascii="Times New Roman" w:hAnsi="Times New Roman" w:cs="Times New Roman"/>
          <w:b/>
          <w:szCs w:val="32"/>
        </w:rPr>
        <w:t>编制单位：抚顺市规划勘测设计研究院有限公司</w:t>
      </w:r>
    </w:p>
    <w:p>
      <w:pPr>
        <w:spacing w:line="480" w:lineRule="auto"/>
        <w:ind w:firstLine="0" w:firstLineChars="0"/>
        <w:rPr>
          <w:rFonts w:ascii="Times New Roman" w:hAnsi="Times New Roman" w:cs="Times New Roman" w:eastAsiaTheme="majorEastAsia"/>
          <w:b/>
          <w:sz w:val="32"/>
          <w:szCs w:val="36"/>
        </w:rPr>
      </w:pPr>
      <w:r>
        <w:rPr>
          <w:rFonts w:ascii="Times New Roman" w:hAnsi="Times New Roman" w:cs="Times New Roman" w:eastAsiaTheme="majorEastAsia"/>
          <w:b/>
          <w:szCs w:val="32"/>
        </w:rPr>
        <w:t>编制时间：2023年11月</w:t>
      </w:r>
    </w:p>
    <w:p>
      <w:pPr>
        <w:ind w:firstLine="0" w:firstLineChars="0"/>
        <w:jc w:val="center"/>
        <w:rPr>
          <w:rFonts w:ascii="Times New Roman" w:hAnsi="Times New Roman" w:eastAsia="宋体" w:cs="Times New Roman"/>
          <w:sz w:val="32"/>
        </w:rPr>
        <w:sectPr>
          <w:pgSz w:w="11906" w:h="16838"/>
          <w:pgMar w:top="1440" w:right="1800" w:bottom="1440" w:left="1800" w:header="851" w:footer="992" w:gutter="0"/>
          <w:cols w:space="425" w:num="1"/>
          <w:titlePg/>
          <w:docGrid w:type="lines" w:linePitch="381" w:charSpace="0"/>
        </w:sectPr>
      </w:pPr>
    </w:p>
    <w:sdt>
      <w:sdtPr>
        <w:rPr>
          <w:rFonts w:ascii="Times New Roman" w:hAnsi="Times New Roman" w:eastAsia="宋体" w:cs="Times New Roman"/>
          <w:color w:val="auto"/>
          <w:kern w:val="2"/>
          <w:sz w:val="28"/>
          <w:szCs w:val="28"/>
          <w:lang w:val="zh-CN"/>
        </w:rPr>
        <w:id w:val="-1908135188"/>
        <w:docPartObj>
          <w:docPartGallery w:val="Table of Contents"/>
          <w:docPartUnique/>
        </w:docPartObj>
      </w:sdtPr>
      <w:sdtEndPr>
        <w:rPr>
          <w:rFonts w:ascii="Times New Roman" w:hAnsi="Times New Roman" w:eastAsia="宋体" w:cs="Times New Roman"/>
          <w:b/>
          <w:bCs/>
          <w:color w:val="auto"/>
          <w:kern w:val="2"/>
          <w:sz w:val="28"/>
          <w:szCs w:val="28"/>
          <w:lang w:val="zh-CN"/>
        </w:rPr>
      </w:sdtEndPr>
      <w:sdtContent>
        <w:p>
          <w:pPr>
            <w:pStyle w:val="23"/>
            <w:spacing w:line="360" w:lineRule="auto"/>
            <w:jc w:val="center"/>
            <w:rPr>
              <w:rFonts w:ascii="Times New Roman" w:hAnsi="Times New Roman" w:eastAsia="宋体" w:cs="Times New Roman"/>
              <w:color w:val="auto"/>
              <w:sz w:val="28"/>
              <w:szCs w:val="28"/>
            </w:rPr>
          </w:pPr>
          <w:r>
            <w:rPr>
              <w:rFonts w:ascii="Times New Roman" w:hAnsi="Times New Roman" w:eastAsia="宋体" w:cs="Times New Roman"/>
              <w:color w:val="auto"/>
              <w:sz w:val="28"/>
              <w:szCs w:val="28"/>
              <w:lang w:val="zh-CN"/>
            </w:rPr>
            <w:t>目录</w:t>
          </w:r>
        </w:p>
        <w:p>
          <w:pPr>
            <w:pStyle w:val="10"/>
            <w:tabs>
              <w:tab w:val="left" w:pos="440"/>
              <w:tab w:val="right" w:leader="dot" w:pos="8296"/>
            </w:tabs>
            <w:rPr>
              <w:rFonts w:cstheme="minorBidi"/>
              <w:kern w:val="2"/>
              <w:sz w:val="21"/>
            </w:rPr>
          </w:pPr>
          <w:r>
            <w:rPr>
              <w:rFonts w:ascii="Times New Roman" w:hAnsi="Times New Roman" w:eastAsia="宋体"/>
              <w:b/>
              <w:bCs/>
              <w:sz w:val="28"/>
              <w:szCs w:val="28"/>
              <w:lang w:val="zh-CN"/>
            </w:rPr>
            <w:fldChar w:fldCharType="begin"/>
          </w:r>
          <w:r>
            <w:rPr>
              <w:rFonts w:ascii="Times New Roman" w:hAnsi="Times New Roman" w:eastAsia="宋体"/>
              <w:b/>
              <w:bCs/>
              <w:sz w:val="28"/>
              <w:szCs w:val="28"/>
              <w:lang w:val="zh-CN"/>
            </w:rPr>
            <w:instrText xml:space="preserve"> TOC \o "1-3" \h \z \u </w:instrText>
          </w:r>
          <w:r>
            <w:rPr>
              <w:rFonts w:ascii="Times New Roman" w:hAnsi="Times New Roman" w:eastAsia="宋体"/>
              <w:b/>
              <w:bCs/>
              <w:sz w:val="28"/>
              <w:szCs w:val="28"/>
              <w:lang w:val="zh-CN"/>
            </w:rPr>
            <w:fldChar w:fldCharType="separate"/>
          </w:r>
          <w:r>
            <w:fldChar w:fldCharType="begin"/>
          </w:r>
          <w:r>
            <w:instrText xml:space="preserve"> HYPERLINK \l "_Toc150354708" </w:instrText>
          </w:r>
          <w:r>
            <w:fldChar w:fldCharType="separate"/>
          </w:r>
          <w:r>
            <w:rPr>
              <w:rStyle w:val="15"/>
              <w:rFonts w:ascii="Times New Roman" w:hAnsi="Times New Roman" w:eastAsia="宋体"/>
            </w:rPr>
            <w:t>1</w:t>
          </w:r>
          <w:r>
            <w:rPr>
              <w:rFonts w:cstheme="minorBidi"/>
              <w:kern w:val="2"/>
              <w:sz w:val="21"/>
            </w:rPr>
            <w:tab/>
          </w:r>
          <w:r>
            <w:rPr>
              <w:rStyle w:val="15"/>
              <w:rFonts w:ascii="Times New Roman" w:hAnsi="Times New Roman" w:eastAsia="宋体"/>
            </w:rPr>
            <w:t>概述</w:t>
          </w:r>
          <w:r>
            <w:tab/>
          </w:r>
          <w:r>
            <w:fldChar w:fldCharType="begin"/>
          </w:r>
          <w:r>
            <w:instrText xml:space="preserve"> PAGEREF _Toc150354708 \h </w:instrText>
          </w:r>
          <w:r>
            <w:fldChar w:fldCharType="separate"/>
          </w:r>
          <w:r>
            <w:t>1</w:t>
          </w:r>
          <w:r>
            <w:fldChar w:fldCharType="end"/>
          </w:r>
          <w:r>
            <w:fldChar w:fldCharType="end"/>
          </w:r>
        </w:p>
        <w:p>
          <w:pPr>
            <w:pStyle w:val="11"/>
            <w:rPr>
              <w:rFonts w:cstheme="minorBidi"/>
              <w:kern w:val="2"/>
              <w:sz w:val="21"/>
            </w:rPr>
          </w:pPr>
          <w:r>
            <w:fldChar w:fldCharType="begin"/>
          </w:r>
          <w:r>
            <w:instrText xml:space="preserve"> HYPERLINK \l "_Toc150354709" </w:instrText>
          </w:r>
          <w:r>
            <w:fldChar w:fldCharType="separate"/>
          </w:r>
          <w:r>
            <w:rPr>
              <w:rStyle w:val="15"/>
              <w:rFonts w:ascii="Times New Roman" w:hAnsi="Times New Roman" w:eastAsia="宋体"/>
            </w:rPr>
            <w:t>1.1</w:t>
          </w:r>
          <w:r>
            <w:rPr>
              <w:rFonts w:cstheme="minorBidi"/>
              <w:kern w:val="2"/>
              <w:sz w:val="21"/>
            </w:rPr>
            <w:tab/>
          </w:r>
          <w:r>
            <w:rPr>
              <w:rStyle w:val="15"/>
              <w:rFonts w:ascii="Times New Roman" w:hAnsi="Times New Roman" w:eastAsia="宋体"/>
            </w:rPr>
            <w:t>背景</w:t>
          </w:r>
          <w:r>
            <w:tab/>
          </w:r>
          <w:r>
            <w:fldChar w:fldCharType="begin"/>
          </w:r>
          <w:r>
            <w:instrText xml:space="preserve"> PAGEREF _Toc150354709 \h </w:instrText>
          </w:r>
          <w:r>
            <w:fldChar w:fldCharType="separate"/>
          </w:r>
          <w:r>
            <w:t>1</w:t>
          </w:r>
          <w:r>
            <w:fldChar w:fldCharType="end"/>
          </w:r>
          <w:r>
            <w:fldChar w:fldCharType="end"/>
          </w:r>
        </w:p>
        <w:p>
          <w:pPr>
            <w:pStyle w:val="11"/>
            <w:rPr>
              <w:rFonts w:cstheme="minorBidi"/>
              <w:kern w:val="2"/>
              <w:sz w:val="21"/>
            </w:rPr>
          </w:pPr>
          <w:r>
            <w:fldChar w:fldCharType="begin"/>
          </w:r>
          <w:r>
            <w:instrText xml:space="preserve"> HYPERLINK \l "_Toc150354710" </w:instrText>
          </w:r>
          <w:r>
            <w:fldChar w:fldCharType="separate"/>
          </w:r>
          <w:r>
            <w:rPr>
              <w:rStyle w:val="15"/>
              <w:rFonts w:ascii="Times New Roman" w:hAnsi="Times New Roman" w:eastAsia="宋体"/>
            </w:rPr>
            <w:t>1.2</w:t>
          </w:r>
          <w:r>
            <w:rPr>
              <w:rFonts w:cstheme="minorBidi"/>
              <w:kern w:val="2"/>
              <w:sz w:val="21"/>
            </w:rPr>
            <w:tab/>
          </w:r>
          <w:r>
            <w:rPr>
              <w:rStyle w:val="15"/>
              <w:rFonts w:ascii="Times New Roman" w:hAnsi="Times New Roman" w:eastAsia="宋体"/>
            </w:rPr>
            <w:t>编制原则</w:t>
          </w:r>
          <w:r>
            <w:tab/>
          </w:r>
          <w:r>
            <w:fldChar w:fldCharType="begin"/>
          </w:r>
          <w:r>
            <w:instrText xml:space="preserve"> PAGEREF _Toc150354710 \h </w:instrText>
          </w:r>
          <w:r>
            <w:fldChar w:fldCharType="separate"/>
          </w:r>
          <w:r>
            <w:t>4</w:t>
          </w:r>
          <w:r>
            <w:fldChar w:fldCharType="end"/>
          </w:r>
          <w:r>
            <w:fldChar w:fldCharType="end"/>
          </w:r>
        </w:p>
        <w:p>
          <w:pPr>
            <w:pStyle w:val="11"/>
            <w:rPr>
              <w:rFonts w:cstheme="minorBidi"/>
              <w:kern w:val="2"/>
              <w:sz w:val="21"/>
            </w:rPr>
          </w:pPr>
          <w:r>
            <w:fldChar w:fldCharType="begin"/>
          </w:r>
          <w:r>
            <w:instrText xml:space="preserve"> HYPERLINK \l "_Toc150354711" </w:instrText>
          </w:r>
          <w:r>
            <w:fldChar w:fldCharType="separate"/>
          </w:r>
          <w:r>
            <w:rPr>
              <w:rStyle w:val="15"/>
              <w:rFonts w:ascii="Times New Roman" w:hAnsi="Times New Roman" w:eastAsia="宋体"/>
            </w:rPr>
            <w:t>1.3</w:t>
          </w:r>
          <w:r>
            <w:rPr>
              <w:rFonts w:cstheme="minorBidi"/>
              <w:kern w:val="2"/>
              <w:sz w:val="21"/>
            </w:rPr>
            <w:tab/>
          </w:r>
          <w:r>
            <w:rPr>
              <w:rStyle w:val="15"/>
              <w:rFonts w:ascii="Times New Roman" w:hAnsi="Times New Roman" w:eastAsia="宋体"/>
            </w:rPr>
            <w:t>编制目标</w:t>
          </w:r>
          <w:r>
            <w:tab/>
          </w:r>
          <w:r>
            <w:fldChar w:fldCharType="begin"/>
          </w:r>
          <w:r>
            <w:instrText xml:space="preserve"> PAGEREF _Toc150354711 \h </w:instrText>
          </w:r>
          <w:r>
            <w:fldChar w:fldCharType="separate"/>
          </w:r>
          <w:r>
            <w:t>5</w:t>
          </w:r>
          <w:r>
            <w:fldChar w:fldCharType="end"/>
          </w:r>
          <w:r>
            <w:fldChar w:fldCharType="end"/>
          </w:r>
        </w:p>
        <w:p>
          <w:pPr>
            <w:pStyle w:val="11"/>
            <w:rPr>
              <w:rFonts w:cstheme="minorBidi"/>
              <w:kern w:val="2"/>
              <w:sz w:val="21"/>
            </w:rPr>
          </w:pPr>
          <w:r>
            <w:fldChar w:fldCharType="begin"/>
          </w:r>
          <w:r>
            <w:instrText xml:space="preserve"> HYPERLINK \l "_Toc150354712" </w:instrText>
          </w:r>
          <w:r>
            <w:fldChar w:fldCharType="separate"/>
          </w:r>
          <w:r>
            <w:rPr>
              <w:rStyle w:val="15"/>
              <w:rFonts w:ascii="Times New Roman" w:hAnsi="Times New Roman" w:eastAsia="宋体"/>
            </w:rPr>
            <w:t>1.4</w:t>
          </w:r>
          <w:r>
            <w:rPr>
              <w:rFonts w:cstheme="minorBidi"/>
              <w:kern w:val="2"/>
              <w:sz w:val="21"/>
            </w:rPr>
            <w:tab/>
          </w:r>
          <w:r>
            <w:rPr>
              <w:rStyle w:val="15"/>
              <w:rFonts w:ascii="Times New Roman" w:hAnsi="Times New Roman" w:eastAsia="宋体"/>
            </w:rPr>
            <w:t>编制依据</w:t>
          </w:r>
          <w:r>
            <w:tab/>
          </w:r>
          <w:r>
            <w:fldChar w:fldCharType="begin"/>
          </w:r>
          <w:r>
            <w:instrText xml:space="preserve"> PAGEREF _Toc150354712 \h </w:instrText>
          </w:r>
          <w:r>
            <w:fldChar w:fldCharType="separate"/>
          </w:r>
          <w:r>
            <w:t>6</w:t>
          </w:r>
          <w:r>
            <w:fldChar w:fldCharType="end"/>
          </w:r>
          <w:r>
            <w:fldChar w:fldCharType="end"/>
          </w:r>
        </w:p>
        <w:p>
          <w:pPr>
            <w:pStyle w:val="11"/>
            <w:rPr>
              <w:rFonts w:cstheme="minorBidi"/>
              <w:kern w:val="2"/>
              <w:sz w:val="21"/>
            </w:rPr>
          </w:pPr>
          <w:r>
            <w:fldChar w:fldCharType="begin"/>
          </w:r>
          <w:r>
            <w:instrText xml:space="preserve"> HYPERLINK \l "_Toc150354713" </w:instrText>
          </w:r>
          <w:r>
            <w:fldChar w:fldCharType="separate"/>
          </w:r>
          <w:r>
            <w:rPr>
              <w:rStyle w:val="15"/>
              <w:rFonts w:ascii="Times New Roman" w:hAnsi="Times New Roman" w:eastAsia="宋体"/>
            </w:rPr>
            <w:t>1.5</w:t>
          </w:r>
          <w:r>
            <w:rPr>
              <w:rFonts w:cstheme="minorBidi"/>
              <w:kern w:val="2"/>
              <w:sz w:val="21"/>
            </w:rPr>
            <w:tab/>
          </w:r>
          <w:r>
            <w:rPr>
              <w:rStyle w:val="15"/>
              <w:rFonts w:ascii="Times New Roman" w:hAnsi="Times New Roman" w:eastAsia="宋体"/>
            </w:rPr>
            <w:t>实施时限</w:t>
          </w:r>
          <w:r>
            <w:tab/>
          </w:r>
          <w:r>
            <w:fldChar w:fldCharType="begin"/>
          </w:r>
          <w:r>
            <w:instrText xml:space="preserve"> PAGEREF _Toc150354713 \h </w:instrText>
          </w:r>
          <w:r>
            <w:fldChar w:fldCharType="separate"/>
          </w:r>
          <w:r>
            <w:t>7</w:t>
          </w:r>
          <w:r>
            <w:fldChar w:fldCharType="end"/>
          </w:r>
          <w:r>
            <w:fldChar w:fldCharType="end"/>
          </w:r>
        </w:p>
        <w:p>
          <w:pPr>
            <w:pStyle w:val="10"/>
            <w:tabs>
              <w:tab w:val="left" w:pos="440"/>
              <w:tab w:val="right" w:leader="dot" w:pos="8296"/>
            </w:tabs>
            <w:rPr>
              <w:rFonts w:cstheme="minorBidi"/>
              <w:kern w:val="2"/>
              <w:sz w:val="21"/>
            </w:rPr>
          </w:pPr>
          <w:r>
            <w:fldChar w:fldCharType="begin"/>
          </w:r>
          <w:r>
            <w:instrText xml:space="preserve"> HYPERLINK \l "_Toc150354714" </w:instrText>
          </w:r>
          <w:r>
            <w:fldChar w:fldCharType="separate"/>
          </w:r>
          <w:r>
            <w:rPr>
              <w:rStyle w:val="15"/>
              <w:rFonts w:ascii="Times New Roman" w:hAnsi="Times New Roman" w:eastAsia="宋体"/>
            </w:rPr>
            <w:t>2</w:t>
          </w:r>
          <w:r>
            <w:rPr>
              <w:rFonts w:cstheme="minorBidi"/>
              <w:kern w:val="2"/>
              <w:sz w:val="21"/>
            </w:rPr>
            <w:tab/>
          </w:r>
          <w:r>
            <w:rPr>
              <w:rStyle w:val="15"/>
              <w:rFonts w:ascii="Times New Roman" w:hAnsi="Times New Roman" w:eastAsia="宋体"/>
            </w:rPr>
            <w:t>基本情况</w:t>
          </w:r>
          <w:r>
            <w:tab/>
          </w:r>
          <w:r>
            <w:fldChar w:fldCharType="begin"/>
          </w:r>
          <w:r>
            <w:instrText xml:space="preserve"> PAGEREF _Toc150354714 \h </w:instrText>
          </w:r>
          <w:r>
            <w:fldChar w:fldCharType="separate"/>
          </w:r>
          <w:r>
            <w:t>8</w:t>
          </w:r>
          <w:r>
            <w:fldChar w:fldCharType="end"/>
          </w:r>
          <w:r>
            <w:fldChar w:fldCharType="end"/>
          </w:r>
        </w:p>
        <w:p>
          <w:pPr>
            <w:pStyle w:val="11"/>
            <w:rPr>
              <w:rFonts w:cstheme="minorBidi"/>
              <w:kern w:val="2"/>
              <w:sz w:val="21"/>
            </w:rPr>
          </w:pPr>
          <w:r>
            <w:fldChar w:fldCharType="begin"/>
          </w:r>
          <w:r>
            <w:instrText xml:space="preserve"> HYPERLINK \l "_Toc150354715" </w:instrText>
          </w:r>
          <w:r>
            <w:fldChar w:fldCharType="separate"/>
          </w:r>
          <w:r>
            <w:rPr>
              <w:rStyle w:val="15"/>
              <w:rFonts w:ascii="Times New Roman" w:hAnsi="Times New Roman" w:eastAsia="宋体"/>
            </w:rPr>
            <w:t>2.1</w:t>
          </w:r>
          <w:r>
            <w:rPr>
              <w:rFonts w:cstheme="minorBidi"/>
              <w:kern w:val="2"/>
              <w:sz w:val="21"/>
            </w:rPr>
            <w:tab/>
          </w:r>
          <w:r>
            <w:rPr>
              <w:rStyle w:val="15"/>
              <w:rFonts w:ascii="Times New Roman" w:hAnsi="Times New Roman" w:eastAsia="宋体"/>
            </w:rPr>
            <w:t>成片开发总体情况</w:t>
          </w:r>
          <w:r>
            <w:tab/>
          </w:r>
          <w:r>
            <w:fldChar w:fldCharType="begin"/>
          </w:r>
          <w:r>
            <w:instrText xml:space="preserve"> PAGEREF _Toc150354715 \h </w:instrText>
          </w:r>
          <w:r>
            <w:fldChar w:fldCharType="separate"/>
          </w:r>
          <w:r>
            <w:t>8</w:t>
          </w:r>
          <w:r>
            <w:fldChar w:fldCharType="end"/>
          </w:r>
          <w:r>
            <w:fldChar w:fldCharType="end"/>
          </w:r>
        </w:p>
        <w:p>
          <w:pPr>
            <w:pStyle w:val="11"/>
            <w:rPr>
              <w:rFonts w:cstheme="minorBidi"/>
              <w:kern w:val="2"/>
              <w:sz w:val="21"/>
            </w:rPr>
          </w:pPr>
          <w:r>
            <w:fldChar w:fldCharType="begin"/>
          </w:r>
          <w:r>
            <w:instrText xml:space="preserve"> HYPERLINK \l "_Toc150354716" </w:instrText>
          </w:r>
          <w:r>
            <w:fldChar w:fldCharType="separate"/>
          </w:r>
          <w:r>
            <w:rPr>
              <w:rStyle w:val="15"/>
              <w:rFonts w:ascii="Times New Roman" w:hAnsi="Times New Roman" w:eastAsia="宋体"/>
            </w:rPr>
            <w:t>2.2</w:t>
          </w:r>
          <w:r>
            <w:rPr>
              <w:rFonts w:cstheme="minorBidi"/>
              <w:kern w:val="2"/>
              <w:sz w:val="21"/>
            </w:rPr>
            <w:tab/>
          </w:r>
          <w:r>
            <w:rPr>
              <w:rStyle w:val="15"/>
              <w:rFonts w:ascii="Times New Roman" w:hAnsi="Times New Roman" w:eastAsia="宋体"/>
            </w:rPr>
            <w:t>土地利用现状情况</w:t>
          </w:r>
          <w:r>
            <w:tab/>
          </w:r>
          <w:r>
            <w:fldChar w:fldCharType="begin"/>
          </w:r>
          <w:r>
            <w:instrText xml:space="preserve"> PAGEREF _Toc150354716 \h </w:instrText>
          </w:r>
          <w:r>
            <w:fldChar w:fldCharType="separate"/>
          </w:r>
          <w:r>
            <w:t>10</w:t>
          </w:r>
          <w:r>
            <w:fldChar w:fldCharType="end"/>
          </w:r>
          <w:r>
            <w:fldChar w:fldCharType="end"/>
          </w:r>
        </w:p>
        <w:p>
          <w:pPr>
            <w:pStyle w:val="11"/>
            <w:rPr>
              <w:rFonts w:cstheme="minorBidi"/>
              <w:kern w:val="2"/>
              <w:sz w:val="21"/>
            </w:rPr>
          </w:pPr>
          <w:r>
            <w:fldChar w:fldCharType="begin"/>
          </w:r>
          <w:r>
            <w:instrText xml:space="preserve"> HYPERLINK \l "_Toc150354717" </w:instrText>
          </w:r>
          <w:r>
            <w:fldChar w:fldCharType="separate"/>
          </w:r>
          <w:r>
            <w:rPr>
              <w:rStyle w:val="15"/>
              <w:rFonts w:ascii="Times New Roman" w:hAnsi="Times New Roman" w:eastAsia="宋体"/>
            </w:rPr>
            <w:t>2.3</w:t>
          </w:r>
          <w:r>
            <w:rPr>
              <w:rFonts w:cstheme="minorBidi"/>
              <w:kern w:val="2"/>
              <w:sz w:val="21"/>
            </w:rPr>
            <w:tab/>
          </w:r>
          <w:r>
            <w:rPr>
              <w:rStyle w:val="15"/>
              <w:rFonts w:ascii="Times New Roman" w:hAnsi="Times New Roman" w:eastAsia="宋体"/>
            </w:rPr>
            <w:t>土地权属情况</w:t>
          </w:r>
          <w:r>
            <w:tab/>
          </w:r>
          <w:r>
            <w:fldChar w:fldCharType="begin"/>
          </w:r>
          <w:r>
            <w:instrText xml:space="preserve"> PAGEREF _Toc150354717 \h </w:instrText>
          </w:r>
          <w:r>
            <w:fldChar w:fldCharType="separate"/>
          </w:r>
          <w:r>
            <w:t>12</w:t>
          </w:r>
          <w:r>
            <w:fldChar w:fldCharType="end"/>
          </w:r>
          <w:r>
            <w:fldChar w:fldCharType="end"/>
          </w:r>
        </w:p>
        <w:p>
          <w:pPr>
            <w:pStyle w:val="11"/>
            <w:rPr>
              <w:rFonts w:cstheme="minorBidi"/>
              <w:kern w:val="2"/>
              <w:sz w:val="21"/>
            </w:rPr>
          </w:pPr>
          <w:r>
            <w:fldChar w:fldCharType="begin"/>
          </w:r>
          <w:r>
            <w:instrText xml:space="preserve"> HYPERLINK \l "_Toc150354718" </w:instrText>
          </w:r>
          <w:r>
            <w:fldChar w:fldCharType="separate"/>
          </w:r>
          <w:r>
            <w:rPr>
              <w:rStyle w:val="15"/>
              <w:rFonts w:ascii="Times New Roman" w:hAnsi="Times New Roman" w:eastAsia="宋体"/>
            </w:rPr>
            <w:t>2.4</w:t>
          </w:r>
          <w:r>
            <w:rPr>
              <w:rFonts w:cstheme="minorBidi"/>
              <w:kern w:val="2"/>
              <w:sz w:val="21"/>
            </w:rPr>
            <w:tab/>
          </w:r>
          <w:r>
            <w:rPr>
              <w:rStyle w:val="15"/>
              <w:rFonts w:ascii="Times New Roman" w:hAnsi="Times New Roman" w:eastAsia="宋体"/>
            </w:rPr>
            <w:t>基础设施条件</w:t>
          </w:r>
          <w:r>
            <w:tab/>
          </w:r>
          <w:r>
            <w:fldChar w:fldCharType="begin"/>
          </w:r>
          <w:r>
            <w:instrText xml:space="preserve"> PAGEREF _Toc150354718 \h </w:instrText>
          </w:r>
          <w:r>
            <w:fldChar w:fldCharType="separate"/>
          </w:r>
          <w:r>
            <w:t>12</w:t>
          </w:r>
          <w:r>
            <w:fldChar w:fldCharType="end"/>
          </w:r>
          <w:r>
            <w:fldChar w:fldCharType="end"/>
          </w:r>
        </w:p>
        <w:p>
          <w:pPr>
            <w:pStyle w:val="10"/>
            <w:tabs>
              <w:tab w:val="left" w:pos="440"/>
              <w:tab w:val="right" w:leader="dot" w:pos="8296"/>
            </w:tabs>
            <w:rPr>
              <w:rFonts w:cstheme="minorBidi"/>
              <w:kern w:val="2"/>
              <w:sz w:val="21"/>
            </w:rPr>
          </w:pPr>
          <w:r>
            <w:fldChar w:fldCharType="begin"/>
          </w:r>
          <w:r>
            <w:instrText xml:space="preserve"> HYPERLINK \l "_Toc150354719" </w:instrText>
          </w:r>
          <w:r>
            <w:fldChar w:fldCharType="separate"/>
          </w:r>
          <w:r>
            <w:rPr>
              <w:rStyle w:val="15"/>
              <w:rFonts w:ascii="Times New Roman" w:hAnsi="Times New Roman" w:eastAsia="宋体"/>
            </w:rPr>
            <w:t>3</w:t>
          </w:r>
          <w:r>
            <w:rPr>
              <w:rFonts w:cstheme="minorBidi"/>
              <w:kern w:val="2"/>
              <w:sz w:val="21"/>
            </w:rPr>
            <w:tab/>
          </w:r>
          <w:r>
            <w:rPr>
              <w:rStyle w:val="15"/>
              <w:rFonts w:ascii="Times New Roman" w:hAnsi="Times New Roman" w:eastAsia="宋体"/>
            </w:rPr>
            <w:t>成片开发的合规性、必要性及公益性</w:t>
          </w:r>
          <w:r>
            <w:tab/>
          </w:r>
          <w:r>
            <w:fldChar w:fldCharType="begin"/>
          </w:r>
          <w:r>
            <w:instrText xml:space="preserve"> PAGEREF _Toc150354719 \h </w:instrText>
          </w:r>
          <w:r>
            <w:fldChar w:fldCharType="separate"/>
          </w:r>
          <w:r>
            <w:t>13</w:t>
          </w:r>
          <w:r>
            <w:fldChar w:fldCharType="end"/>
          </w:r>
          <w:r>
            <w:fldChar w:fldCharType="end"/>
          </w:r>
        </w:p>
        <w:p>
          <w:pPr>
            <w:pStyle w:val="11"/>
            <w:rPr>
              <w:rFonts w:cstheme="minorBidi"/>
              <w:kern w:val="2"/>
              <w:sz w:val="21"/>
            </w:rPr>
          </w:pPr>
          <w:r>
            <w:fldChar w:fldCharType="begin"/>
          </w:r>
          <w:r>
            <w:instrText xml:space="preserve"> HYPERLINK \l "_Toc150354720" </w:instrText>
          </w:r>
          <w:r>
            <w:fldChar w:fldCharType="separate"/>
          </w:r>
          <w:r>
            <w:rPr>
              <w:rStyle w:val="15"/>
              <w:rFonts w:ascii="Times New Roman" w:hAnsi="Times New Roman" w:eastAsia="宋体"/>
            </w:rPr>
            <w:t>3.1</w:t>
          </w:r>
          <w:r>
            <w:rPr>
              <w:rFonts w:cstheme="minorBidi"/>
              <w:kern w:val="2"/>
              <w:sz w:val="21"/>
            </w:rPr>
            <w:tab/>
          </w:r>
          <w:r>
            <w:rPr>
              <w:rStyle w:val="15"/>
              <w:rFonts w:ascii="Times New Roman" w:hAnsi="Times New Roman" w:eastAsia="宋体"/>
            </w:rPr>
            <w:t>合法性分析</w:t>
          </w:r>
          <w:r>
            <w:tab/>
          </w:r>
          <w:r>
            <w:fldChar w:fldCharType="begin"/>
          </w:r>
          <w:r>
            <w:instrText xml:space="preserve"> PAGEREF _Toc150354720 \h </w:instrText>
          </w:r>
          <w:r>
            <w:fldChar w:fldCharType="separate"/>
          </w:r>
          <w:r>
            <w:t>13</w:t>
          </w:r>
          <w:r>
            <w:fldChar w:fldCharType="end"/>
          </w:r>
          <w:r>
            <w:fldChar w:fldCharType="end"/>
          </w:r>
        </w:p>
        <w:p>
          <w:pPr>
            <w:pStyle w:val="11"/>
            <w:rPr>
              <w:rFonts w:cstheme="minorBidi"/>
              <w:kern w:val="2"/>
              <w:sz w:val="21"/>
            </w:rPr>
          </w:pPr>
          <w:r>
            <w:fldChar w:fldCharType="begin"/>
          </w:r>
          <w:r>
            <w:instrText xml:space="preserve"> HYPERLINK \l "_Toc150354721" </w:instrText>
          </w:r>
          <w:r>
            <w:fldChar w:fldCharType="separate"/>
          </w:r>
          <w:r>
            <w:rPr>
              <w:rStyle w:val="15"/>
              <w:rFonts w:ascii="Times New Roman" w:hAnsi="Times New Roman" w:eastAsia="宋体"/>
            </w:rPr>
            <w:t>3.2</w:t>
          </w:r>
          <w:r>
            <w:rPr>
              <w:rFonts w:cstheme="minorBidi"/>
              <w:kern w:val="2"/>
              <w:sz w:val="21"/>
            </w:rPr>
            <w:tab/>
          </w:r>
          <w:r>
            <w:rPr>
              <w:rStyle w:val="15"/>
              <w:rFonts w:ascii="Times New Roman" w:hAnsi="Times New Roman" w:eastAsia="宋体"/>
            </w:rPr>
            <w:t>合规性分析</w:t>
          </w:r>
          <w:r>
            <w:tab/>
          </w:r>
          <w:r>
            <w:fldChar w:fldCharType="begin"/>
          </w:r>
          <w:r>
            <w:instrText xml:space="preserve"> PAGEREF _Toc150354721 \h </w:instrText>
          </w:r>
          <w:r>
            <w:fldChar w:fldCharType="separate"/>
          </w:r>
          <w:r>
            <w:t>13</w:t>
          </w:r>
          <w:r>
            <w:fldChar w:fldCharType="end"/>
          </w:r>
          <w:r>
            <w:fldChar w:fldCharType="end"/>
          </w:r>
        </w:p>
        <w:p>
          <w:pPr>
            <w:pStyle w:val="11"/>
            <w:rPr>
              <w:rFonts w:cstheme="minorBidi"/>
              <w:kern w:val="2"/>
              <w:sz w:val="21"/>
            </w:rPr>
          </w:pPr>
          <w:r>
            <w:fldChar w:fldCharType="begin"/>
          </w:r>
          <w:r>
            <w:instrText xml:space="preserve"> HYPERLINK \l "_Toc150354722" </w:instrText>
          </w:r>
          <w:r>
            <w:fldChar w:fldCharType="separate"/>
          </w:r>
          <w:r>
            <w:rPr>
              <w:rStyle w:val="15"/>
              <w:rFonts w:ascii="Times New Roman" w:hAnsi="Times New Roman" w:eastAsia="宋体"/>
            </w:rPr>
            <w:t>3.3</w:t>
          </w:r>
          <w:r>
            <w:rPr>
              <w:rFonts w:cstheme="minorBidi"/>
              <w:kern w:val="2"/>
              <w:sz w:val="21"/>
            </w:rPr>
            <w:tab/>
          </w:r>
          <w:r>
            <w:rPr>
              <w:rStyle w:val="15"/>
              <w:rFonts w:ascii="Times New Roman" w:hAnsi="Times New Roman" w:eastAsia="宋体"/>
            </w:rPr>
            <w:t>必要性分析</w:t>
          </w:r>
          <w:r>
            <w:tab/>
          </w:r>
          <w:r>
            <w:fldChar w:fldCharType="begin"/>
          </w:r>
          <w:r>
            <w:instrText xml:space="preserve"> PAGEREF _Toc150354722 \h </w:instrText>
          </w:r>
          <w:r>
            <w:fldChar w:fldCharType="separate"/>
          </w:r>
          <w:r>
            <w:t>15</w:t>
          </w:r>
          <w:r>
            <w:fldChar w:fldCharType="end"/>
          </w:r>
          <w:r>
            <w:fldChar w:fldCharType="end"/>
          </w:r>
        </w:p>
        <w:p>
          <w:pPr>
            <w:pStyle w:val="11"/>
            <w:rPr>
              <w:rFonts w:cstheme="minorBidi"/>
              <w:kern w:val="2"/>
              <w:sz w:val="21"/>
            </w:rPr>
          </w:pPr>
          <w:r>
            <w:fldChar w:fldCharType="begin"/>
          </w:r>
          <w:r>
            <w:instrText xml:space="preserve"> HYPERLINK \l "_Toc150354723" </w:instrText>
          </w:r>
          <w:r>
            <w:fldChar w:fldCharType="separate"/>
          </w:r>
          <w:r>
            <w:rPr>
              <w:rStyle w:val="15"/>
              <w:rFonts w:ascii="Times New Roman" w:hAnsi="Times New Roman" w:eastAsia="宋体"/>
            </w:rPr>
            <w:t>3.4</w:t>
          </w:r>
          <w:r>
            <w:rPr>
              <w:rFonts w:cstheme="minorBidi"/>
              <w:kern w:val="2"/>
              <w:sz w:val="21"/>
            </w:rPr>
            <w:tab/>
          </w:r>
          <w:r>
            <w:rPr>
              <w:rStyle w:val="15"/>
              <w:rFonts w:ascii="Times New Roman" w:hAnsi="Times New Roman" w:eastAsia="宋体"/>
            </w:rPr>
            <w:t>公益性分析</w:t>
          </w:r>
          <w:r>
            <w:tab/>
          </w:r>
          <w:r>
            <w:fldChar w:fldCharType="begin"/>
          </w:r>
          <w:r>
            <w:instrText xml:space="preserve"> PAGEREF _Toc150354723 \h </w:instrText>
          </w:r>
          <w:r>
            <w:fldChar w:fldCharType="separate"/>
          </w:r>
          <w:r>
            <w:t>16</w:t>
          </w:r>
          <w:r>
            <w:fldChar w:fldCharType="end"/>
          </w:r>
          <w:r>
            <w:fldChar w:fldCharType="end"/>
          </w:r>
        </w:p>
        <w:p>
          <w:pPr>
            <w:pStyle w:val="10"/>
            <w:tabs>
              <w:tab w:val="left" w:pos="440"/>
              <w:tab w:val="right" w:leader="dot" w:pos="8296"/>
            </w:tabs>
            <w:rPr>
              <w:rFonts w:cstheme="minorBidi"/>
              <w:kern w:val="2"/>
              <w:sz w:val="21"/>
            </w:rPr>
          </w:pPr>
          <w:r>
            <w:fldChar w:fldCharType="begin"/>
          </w:r>
          <w:r>
            <w:instrText xml:space="preserve"> HYPERLINK \l "_Toc150354724" </w:instrText>
          </w:r>
          <w:r>
            <w:fldChar w:fldCharType="separate"/>
          </w:r>
          <w:r>
            <w:rPr>
              <w:rStyle w:val="15"/>
              <w:rFonts w:ascii="Times New Roman" w:hAnsi="Times New Roman" w:eastAsia="宋体"/>
            </w:rPr>
            <w:t>4</w:t>
          </w:r>
          <w:r>
            <w:rPr>
              <w:rFonts w:cstheme="minorBidi"/>
              <w:kern w:val="2"/>
              <w:sz w:val="21"/>
            </w:rPr>
            <w:tab/>
          </w:r>
          <w:r>
            <w:rPr>
              <w:rStyle w:val="15"/>
              <w:rFonts w:ascii="Times New Roman" w:hAnsi="Times New Roman" w:eastAsia="宋体"/>
            </w:rPr>
            <w:t>土地征收成片开发实施计划</w:t>
          </w:r>
          <w:r>
            <w:tab/>
          </w:r>
          <w:r>
            <w:fldChar w:fldCharType="begin"/>
          </w:r>
          <w:r>
            <w:instrText xml:space="preserve"> PAGEREF _Toc150354724 \h </w:instrText>
          </w:r>
          <w:r>
            <w:fldChar w:fldCharType="separate"/>
          </w:r>
          <w:r>
            <w:t>18</w:t>
          </w:r>
          <w:r>
            <w:fldChar w:fldCharType="end"/>
          </w:r>
          <w:r>
            <w:fldChar w:fldCharType="end"/>
          </w:r>
        </w:p>
        <w:p>
          <w:pPr>
            <w:pStyle w:val="11"/>
            <w:rPr>
              <w:rFonts w:cstheme="minorBidi"/>
              <w:kern w:val="2"/>
              <w:sz w:val="21"/>
            </w:rPr>
          </w:pPr>
          <w:r>
            <w:fldChar w:fldCharType="begin"/>
          </w:r>
          <w:r>
            <w:instrText xml:space="preserve"> HYPERLINK \l "_Toc150354725" </w:instrText>
          </w:r>
          <w:r>
            <w:fldChar w:fldCharType="separate"/>
          </w:r>
          <w:r>
            <w:rPr>
              <w:rStyle w:val="15"/>
              <w:rFonts w:ascii="Times New Roman" w:hAnsi="Times New Roman" w:eastAsia="宋体"/>
            </w:rPr>
            <w:t>4.1</w:t>
          </w:r>
          <w:r>
            <w:rPr>
              <w:rFonts w:cstheme="minorBidi"/>
              <w:kern w:val="2"/>
              <w:sz w:val="21"/>
            </w:rPr>
            <w:tab/>
          </w:r>
          <w:r>
            <w:rPr>
              <w:rStyle w:val="15"/>
              <w:rFonts w:ascii="Times New Roman" w:hAnsi="Times New Roman" w:eastAsia="宋体"/>
            </w:rPr>
            <w:t>片区内各地块拟安排的建设项目</w:t>
          </w:r>
          <w:r>
            <w:tab/>
          </w:r>
          <w:r>
            <w:fldChar w:fldCharType="begin"/>
          </w:r>
          <w:r>
            <w:instrText xml:space="preserve"> PAGEREF _Toc150354725 \h </w:instrText>
          </w:r>
          <w:r>
            <w:fldChar w:fldCharType="separate"/>
          </w:r>
          <w:r>
            <w:t>18</w:t>
          </w:r>
          <w:r>
            <w:fldChar w:fldCharType="end"/>
          </w:r>
          <w:r>
            <w:fldChar w:fldCharType="end"/>
          </w:r>
        </w:p>
        <w:p>
          <w:pPr>
            <w:pStyle w:val="11"/>
            <w:rPr>
              <w:rFonts w:cstheme="minorBidi"/>
              <w:kern w:val="2"/>
              <w:sz w:val="21"/>
            </w:rPr>
          </w:pPr>
          <w:r>
            <w:fldChar w:fldCharType="begin"/>
          </w:r>
          <w:r>
            <w:instrText xml:space="preserve"> HYPERLINK \l "_Toc150354726" </w:instrText>
          </w:r>
          <w:r>
            <w:fldChar w:fldCharType="separate"/>
          </w:r>
          <w:r>
            <w:rPr>
              <w:rStyle w:val="15"/>
              <w:rFonts w:ascii="Times New Roman" w:hAnsi="Times New Roman" w:eastAsia="宋体"/>
            </w:rPr>
            <w:t>4.2</w:t>
          </w:r>
          <w:r>
            <w:rPr>
              <w:rFonts w:cstheme="minorBidi"/>
              <w:kern w:val="2"/>
              <w:sz w:val="21"/>
            </w:rPr>
            <w:tab/>
          </w:r>
          <w:r>
            <w:rPr>
              <w:rStyle w:val="15"/>
              <w:rFonts w:ascii="Times New Roman" w:hAnsi="Times New Roman" w:eastAsia="宋体"/>
            </w:rPr>
            <w:t>片区内拟建地块开发时序</w:t>
          </w:r>
          <w:r>
            <w:tab/>
          </w:r>
          <w:r>
            <w:fldChar w:fldCharType="begin"/>
          </w:r>
          <w:r>
            <w:instrText xml:space="preserve"> PAGEREF _Toc150354726 \h </w:instrText>
          </w:r>
          <w:r>
            <w:fldChar w:fldCharType="separate"/>
          </w:r>
          <w:r>
            <w:t>18</w:t>
          </w:r>
          <w:r>
            <w:fldChar w:fldCharType="end"/>
          </w:r>
          <w:r>
            <w:fldChar w:fldCharType="end"/>
          </w:r>
        </w:p>
        <w:p>
          <w:pPr>
            <w:pStyle w:val="10"/>
            <w:tabs>
              <w:tab w:val="left" w:pos="440"/>
              <w:tab w:val="right" w:leader="dot" w:pos="8296"/>
            </w:tabs>
            <w:rPr>
              <w:rFonts w:cstheme="minorBidi"/>
              <w:kern w:val="2"/>
              <w:sz w:val="21"/>
            </w:rPr>
          </w:pPr>
          <w:r>
            <w:fldChar w:fldCharType="begin"/>
          </w:r>
          <w:r>
            <w:instrText xml:space="preserve"> HYPERLINK \l "_Toc150354727" </w:instrText>
          </w:r>
          <w:r>
            <w:fldChar w:fldCharType="separate"/>
          </w:r>
          <w:r>
            <w:rPr>
              <w:rStyle w:val="15"/>
              <w:rFonts w:ascii="Times New Roman" w:hAnsi="Times New Roman" w:eastAsia="宋体"/>
            </w:rPr>
            <w:t>5</w:t>
          </w:r>
          <w:r>
            <w:rPr>
              <w:rFonts w:cstheme="minorBidi"/>
              <w:kern w:val="2"/>
              <w:sz w:val="21"/>
            </w:rPr>
            <w:tab/>
          </w:r>
          <w:r>
            <w:rPr>
              <w:rStyle w:val="15"/>
              <w:rFonts w:ascii="Times New Roman" w:hAnsi="Times New Roman" w:eastAsia="宋体"/>
            </w:rPr>
            <w:t>土地征收成片开发用途、功能和公益性用地比例</w:t>
          </w:r>
          <w:r>
            <w:tab/>
          </w:r>
          <w:r>
            <w:fldChar w:fldCharType="begin"/>
          </w:r>
          <w:r>
            <w:instrText xml:space="preserve"> PAGEREF _Toc150354727 \h </w:instrText>
          </w:r>
          <w:r>
            <w:fldChar w:fldCharType="separate"/>
          </w:r>
          <w:r>
            <w:t>19</w:t>
          </w:r>
          <w:r>
            <w:fldChar w:fldCharType="end"/>
          </w:r>
          <w:r>
            <w:fldChar w:fldCharType="end"/>
          </w:r>
        </w:p>
        <w:p>
          <w:pPr>
            <w:pStyle w:val="11"/>
            <w:rPr>
              <w:rFonts w:cstheme="minorBidi"/>
              <w:kern w:val="2"/>
              <w:sz w:val="21"/>
            </w:rPr>
          </w:pPr>
          <w:r>
            <w:fldChar w:fldCharType="begin"/>
          </w:r>
          <w:r>
            <w:instrText xml:space="preserve"> HYPERLINK \l "_Toc150354728" </w:instrText>
          </w:r>
          <w:r>
            <w:fldChar w:fldCharType="separate"/>
          </w:r>
          <w:r>
            <w:rPr>
              <w:rStyle w:val="15"/>
              <w:rFonts w:ascii="Times New Roman" w:hAnsi="Times New Roman" w:eastAsia="宋体"/>
            </w:rPr>
            <w:t>5.1</w:t>
          </w:r>
          <w:r>
            <w:rPr>
              <w:rFonts w:cstheme="minorBidi"/>
              <w:kern w:val="2"/>
              <w:sz w:val="21"/>
            </w:rPr>
            <w:tab/>
          </w:r>
          <w:r>
            <w:rPr>
              <w:rStyle w:val="15"/>
              <w:rFonts w:ascii="Times New Roman" w:hAnsi="Times New Roman" w:eastAsia="宋体"/>
            </w:rPr>
            <w:t>土地征收成片开发的主要用途及实现功能</w:t>
          </w:r>
          <w:r>
            <w:tab/>
          </w:r>
          <w:r>
            <w:fldChar w:fldCharType="begin"/>
          </w:r>
          <w:r>
            <w:instrText xml:space="preserve"> PAGEREF _Toc150354728 \h </w:instrText>
          </w:r>
          <w:r>
            <w:fldChar w:fldCharType="separate"/>
          </w:r>
          <w:r>
            <w:t>19</w:t>
          </w:r>
          <w:r>
            <w:fldChar w:fldCharType="end"/>
          </w:r>
          <w:r>
            <w:fldChar w:fldCharType="end"/>
          </w:r>
        </w:p>
        <w:p>
          <w:pPr>
            <w:pStyle w:val="11"/>
            <w:rPr>
              <w:rFonts w:cstheme="minorBidi"/>
              <w:kern w:val="2"/>
              <w:sz w:val="21"/>
            </w:rPr>
          </w:pPr>
          <w:r>
            <w:fldChar w:fldCharType="begin"/>
          </w:r>
          <w:r>
            <w:instrText xml:space="preserve"> HYPERLINK \l "_Toc150354729" </w:instrText>
          </w:r>
          <w:r>
            <w:fldChar w:fldCharType="separate"/>
          </w:r>
          <w:r>
            <w:rPr>
              <w:rStyle w:val="15"/>
              <w:rFonts w:ascii="Times New Roman" w:hAnsi="Times New Roman" w:eastAsia="宋体"/>
            </w:rPr>
            <w:t>5.2</w:t>
          </w:r>
          <w:r>
            <w:rPr>
              <w:rFonts w:cstheme="minorBidi"/>
              <w:kern w:val="2"/>
              <w:sz w:val="21"/>
            </w:rPr>
            <w:tab/>
          </w:r>
          <w:r>
            <w:rPr>
              <w:rStyle w:val="15"/>
              <w:rFonts w:ascii="Times New Roman" w:hAnsi="Times New Roman" w:eastAsia="宋体"/>
            </w:rPr>
            <w:t>土地征收片区内公益性用地比例分析</w:t>
          </w:r>
          <w:r>
            <w:tab/>
          </w:r>
          <w:r>
            <w:fldChar w:fldCharType="begin"/>
          </w:r>
          <w:r>
            <w:instrText xml:space="preserve"> PAGEREF _Toc150354729 \h </w:instrText>
          </w:r>
          <w:r>
            <w:fldChar w:fldCharType="separate"/>
          </w:r>
          <w:r>
            <w:t>20</w:t>
          </w:r>
          <w:r>
            <w:fldChar w:fldCharType="end"/>
          </w:r>
          <w:r>
            <w:fldChar w:fldCharType="end"/>
          </w:r>
        </w:p>
        <w:p>
          <w:pPr>
            <w:pStyle w:val="10"/>
            <w:tabs>
              <w:tab w:val="left" w:pos="440"/>
              <w:tab w:val="right" w:leader="dot" w:pos="8296"/>
            </w:tabs>
            <w:rPr>
              <w:rFonts w:cstheme="minorBidi"/>
              <w:kern w:val="2"/>
              <w:sz w:val="21"/>
            </w:rPr>
          </w:pPr>
          <w:r>
            <w:fldChar w:fldCharType="begin"/>
          </w:r>
          <w:r>
            <w:instrText xml:space="preserve"> HYPERLINK \l "_Toc150354730" </w:instrText>
          </w:r>
          <w:r>
            <w:fldChar w:fldCharType="separate"/>
          </w:r>
          <w:r>
            <w:rPr>
              <w:rStyle w:val="15"/>
              <w:rFonts w:ascii="Times New Roman" w:hAnsi="Times New Roman" w:eastAsia="宋体"/>
            </w:rPr>
            <w:t>6</w:t>
          </w:r>
          <w:r>
            <w:rPr>
              <w:rFonts w:cstheme="minorBidi"/>
              <w:kern w:val="2"/>
              <w:sz w:val="21"/>
            </w:rPr>
            <w:tab/>
          </w:r>
          <w:r>
            <w:rPr>
              <w:rStyle w:val="15"/>
              <w:rFonts w:ascii="Times New Roman" w:hAnsi="Times New Roman" w:eastAsia="宋体"/>
            </w:rPr>
            <w:t>土地成片开发效益评估</w:t>
          </w:r>
          <w:r>
            <w:tab/>
          </w:r>
          <w:r>
            <w:fldChar w:fldCharType="begin"/>
          </w:r>
          <w:r>
            <w:instrText xml:space="preserve"> PAGEREF _Toc150354730 \h </w:instrText>
          </w:r>
          <w:r>
            <w:fldChar w:fldCharType="separate"/>
          </w:r>
          <w:r>
            <w:t>21</w:t>
          </w:r>
          <w:r>
            <w:fldChar w:fldCharType="end"/>
          </w:r>
          <w:r>
            <w:fldChar w:fldCharType="end"/>
          </w:r>
        </w:p>
        <w:p>
          <w:pPr>
            <w:pStyle w:val="11"/>
            <w:rPr>
              <w:rFonts w:cstheme="minorBidi"/>
              <w:kern w:val="2"/>
              <w:sz w:val="21"/>
            </w:rPr>
          </w:pPr>
          <w:r>
            <w:fldChar w:fldCharType="begin"/>
          </w:r>
          <w:r>
            <w:instrText xml:space="preserve"> HYPERLINK \l "_Toc150354731" </w:instrText>
          </w:r>
          <w:r>
            <w:fldChar w:fldCharType="separate"/>
          </w:r>
          <w:r>
            <w:rPr>
              <w:rStyle w:val="15"/>
              <w:rFonts w:ascii="Times New Roman" w:hAnsi="Times New Roman" w:eastAsia="宋体"/>
            </w:rPr>
            <w:t>6.1</w:t>
          </w:r>
          <w:r>
            <w:rPr>
              <w:rFonts w:cstheme="minorBidi"/>
              <w:kern w:val="2"/>
              <w:sz w:val="21"/>
            </w:rPr>
            <w:tab/>
          </w:r>
          <w:r>
            <w:rPr>
              <w:rStyle w:val="15"/>
              <w:rFonts w:ascii="Times New Roman" w:hAnsi="Times New Roman" w:eastAsia="宋体"/>
            </w:rPr>
            <w:t>土地利用效益</w:t>
          </w:r>
          <w:r>
            <w:tab/>
          </w:r>
          <w:r>
            <w:fldChar w:fldCharType="begin"/>
          </w:r>
          <w:r>
            <w:instrText xml:space="preserve"> PAGEREF _Toc150354731 \h </w:instrText>
          </w:r>
          <w:r>
            <w:fldChar w:fldCharType="separate"/>
          </w:r>
          <w:r>
            <w:t>21</w:t>
          </w:r>
          <w:r>
            <w:fldChar w:fldCharType="end"/>
          </w:r>
          <w:r>
            <w:fldChar w:fldCharType="end"/>
          </w:r>
        </w:p>
        <w:p>
          <w:pPr>
            <w:pStyle w:val="11"/>
            <w:rPr>
              <w:rFonts w:cstheme="minorBidi"/>
              <w:kern w:val="2"/>
              <w:sz w:val="21"/>
            </w:rPr>
          </w:pPr>
          <w:r>
            <w:fldChar w:fldCharType="begin"/>
          </w:r>
          <w:r>
            <w:instrText xml:space="preserve"> HYPERLINK \l "_Toc150354732" </w:instrText>
          </w:r>
          <w:r>
            <w:fldChar w:fldCharType="separate"/>
          </w:r>
          <w:r>
            <w:rPr>
              <w:rStyle w:val="15"/>
              <w:rFonts w:ascii="Times New Roman" w:hAnsi="Times New Roman" w:eastAsia="宋体"/>
            </w:rPr>
            <w:t>6.2</w:t>
          </w:r>
          <w:r>
            <w:rPr>
              <w:rFonts w:cstheme="minorBidi"/>
              <w:kern w:val="2"/>
              <w:sz w:val="21"/>
            </w:rPr>
            <w:tab/>
          </w:r>
          <w:r>
            <w:rPr>
              <w:rStyle w:val="15"/>
              <w:rFonts w:ascii="Times New Roman" w:hAnsi="Times New Roman" w:eastAsia="宋体"/>
            </w:rPr>
            <w:t>经济效益评估</w:t>
          </w:r>
          <w:r>
            <w:tab/>
          </w:r>
          <w:r>
            <w:fldChar w:fldCharType="begin"/>
          </w:r>
          <w:r>
            <w:instrText xml:space="preserve"> PAGEREF _Toc150354732 \h </w:instrText>
          </w:r>
          <w:r>
            <w:fldChar w:fldCharType="separate"/>
          </w:r>
          <w:r>
            <w:t>21</w:t>
          </w:r>
          <w:r>
            <w:fldChar w:fldCharType="end"/>
          </w:r>
          <w:r>
            <w:fldChar w:fldCharType="end"/>
          </w:r>
        </w:p>
        <w:p>
          <w:pPr>
            <w:pStyle w:val="11"/>
            <w:rPr>
              <w:rFonts w:cstheme="minorBidi"/>
              <w:kern w:val="2"/>
              <w:sz w:val="21"/>
            </w:rPr>
          </w:pPr>
          <w:r>
            <w:fldChar w:fldCharType="begin"/>
          </w:r>
          <w:r>
            <w:instrText xml:space="preserve"> HYPERLINK \l "_Toc150354733" </w:instrText>
          </w:r>
          <w:r>
            <w:fldChar w:fldCharType="separate"/>
          </w:r>
          <w:r>
            <w:rPr>
              <w:rStyle w:val="15"/>
              <w:rFonts w:ascii="Times New Roman" w:hAnsi="Times New Roman" w:eastAsia="宋体"/>
            </w:rPr>
            <w:t>6.3</w:t>
          </w:r>
          <w:r>
            <w:rPr>
              <w:rFonts w:cstheme="minorBidi"/>
              <w:kern w:val="2"/>
              <w:sz w:val="21"/>
            </w:rPr>
            <w:tab/>
          </w:r>
          <w:r>
            <w:rPr>
              <w:rStyle w:val="15"/>
              <w:rFonts w:ascii="Times New Roman" w:hAnsi="Times New Roman" w:eastAsia="宋体"/>
            </w:rPr>
            <w:t>社会效益评估</w:t>
          </w:r>
          <w:r>
            <w:tab/>
          </w:r>
          <w:r>
            <w:fldChar w:fldCharType="begin"/>
          </w:r>
          <w:r>
            <w:instrText xml:space="preserve"> PAGEREF _Toc150354733 \h </w:instrText>
          </w:r>
          <w:r>
            <w:fldChar w:fldCharType="separate"/>
          </w:r>
          <w:r>
            <w:t>22</w:t>
          </w:r>
          <w:r>
            <w:fldChar w:fldCharType="end"/>
          </w:r>
          <w:r>
            <w:fldChar w:fldCharType="end"/>
          </w:r>
        </w:p>
        <w:p>
          <w:pPr>
            <w:pStyle w:val="11"/>
            <w:rPr>
              <w:rFonts w:cstheme="minorBidi"/>
              <w:kern w:val="2"/>
              <w:sz w:val="21"/>
            </w:rPr>
          </w:pPr>
          <w:r>
            <w:fldChar w:fldCharType="begin"/>
          </w:r>
          <w:r>
            <w:instrText xml:space="preserve"> HYPERLINK \l "_Toc150354734" </w:instrText>
          </w:r>
          <w:r>
            <w:fldChar w:fldCharType="separate"/>
          </w:r>
          <w:r>
            <w:rPr>
              <w:rStyle w:val="15"/>
              <w:rFonts w:ascii="Times New Roman" w:hAnsi="Times New Roman" w:eastAsia="宋体"/>
            </w:rPr>
            <w:t>6.4</w:t>
          </w:r>
          <w:r>
            <w:rPr>
              <w:rFonts w:cstheme="minorBidi"/>
              <w:kern w:val="2"/>
              <w:sz w:val="21"/>
            </w:rPr>
            <w:tab/>
          </w:r>
          <w:r>
            <w:rPr>
              <w:rStyle w:val="15"/>
              <w:rFonts w:ascii="Times New Roman" w:hAnsi="Times New Roman" w:eastAsia="宋体"/>
            </w:rPr>
            <w:t>生态效益</w:t>
          </w:r>
          <w:r>
            <w:tab/>
          </w:r>
          <w:r>
            <w:fldChar w:fldCharType="begin"/>
          </w:r>
          <w:r>
            <w:instrText xml:space="preserve"> PAGEREF _Toc150354734 \h </w:instrText>
          </w:r>
          <w:r>
            <w:fldChar w:fldCharType="separate"/>
          </w:r>
          <w:r>
            <w:t>22</w:t>
          </w:r>
          <w:r>
            <w:fldChar w:fldCharType="end"/>
          </w:r>
          <w:r>
            <w:fldChar w:fldCharType="end"/>
          </w:r>
        </w:p>
        <w:p>
          <w:pPr>
            <w:pStyle w:val="10"/>
            <w:tabs>
              <w:tab w:val="left" w:pos="440"/>
              <w:tab w:val="right" w:leader="dot" w:pos="8296"/>
            </w:tabs>
            <w:rPr>
              <w:rFonts w:cstheme="minorBidi"/>
              <w:kern w:val="2"/>
              <w:sz w:val="21"/>
            </w:rPr>
          </w:pPr>
          <w:r>
            <w:fldChar w:fldCharType="begin"/>
          </w:r>
          <w:r>
            <w:instrText xml:space="preserve"> HYPERLINK \l "_Toc150354735" </w:instrText>
          </w:r>
          <w:r>
            <w:fldChar w:fldCharType="separate"/>
          </w:r>
          <w:r>
            <w:rPr>
              <w:rStyle w:val="15"/>
              <w:rFonts w:ascii="Times New Roman" w:hAnsi="Times New Roman" w:eastAsia="宋体"/>
            </w:rPr>
            <w:t>7</w:t>
          </w:r>
          <w:r>
            <w:rPr>
              <w:rFonts w:cstheme="minorBidi"/>
              <w:kern w:val="2"/>
              <w:sz w:val="21"/>
            </w:rPr>
            <w:tab/>
          </w:r>
          <w:r>
            <w:rPr>
              <w:rStyle w:val="15"/>
              <w:rFonts w:ascii="Times New Roman" w:hAnsi="Times New Roman" w:eastAsia="宋体"/>
            </w:rPr>
            <w:t>公众参与情况</w:t>
          </w:r>
          <w:r>
            <w:tab/>
          </w:r>
          <w:r>
            <w:fldChar w:fldCharType="begin"/>
          </w:r>
          <w:r>
            <w:instrText xml:space="preserve"> PAGEREF _Toc150354735 \h </w:instrText>
          </w:r>
          <w:r>
            <w:fldChar w:fldCharType="separate"/>
          </w:r>
          <w:r>
            <w:t>24</w:t>
          </w:r>
          <w:r>
            <w:fldChar w:fldCharType="end"/>
          </w:r>
          <w:r>
            <w:fldChar w:fldCharType="end"/>
          </w:r>
        </w:p>
        <w:p>
          <w:pPr>
            <w:pStyle w:val="11"/>
            <w:rPr>
              <w:rFonts w:cstheme="minorBidi"/>
              <w:kern w:val="2"/>
              <w:sz w:val="21"/>
            </w:rPr>
          </w:pPr>
          <w:r>
            <w:fldChar w:fldCharType="begin"/>
          </w:r>
          <w:r>
            <w:instrText xml:space="preserve"> HYPERLINK \l "_Toc150354736" </w:instrText>
          </w:r>
          <w:r>
            <w:fldChar w:fldCharType="separate"/>
          </w:r>
          <w:r>
            <w:rPr>
              <w:rStyle w:val="15"/>
              <w:rFonts w:ascii="Times New Roman" w:hAnsi="Times New Roman" w:eastAsia="宋体"/>
            </w:rPr>
            <w:t>7.1</w:t>
          </w:r>
          <w:r>
            <w:rPr>
              <w:rFonts w:cstheme="minorBidi"/>
              <w:kern w:val="2"/>
              <w:sz w:val="21"/>
            </w:rPr>
            <w:tab/>
          </w:r>
          <w:r>
            <w:rPr>
              <w:rStyle w:val="15"/>
              <w:rFonts w:ascii="Times New Roman" w:hAnsi="Times New Roman" w:eastAsia="宋体"/>
            </w:rPr>
            <w:t>征求片区内农村集体经济组织和农民的意见</w:t>
          </w:r>
          <w:r>
            <w:tab/>
          </w:r>
          <w:r>
            <w:fldChar w:fldCharType="begin"/>
          </w:r>
          <w:r>
            <w:instrText xml:space="preserve"> PAGEREF _Toc150354736 \h </w:instrText>
          </w:r>
          <w:r>
            <w:fldChar w:fldCharType="separate"/>
          </w:r>
          <w:r>
            <w:t>24</w:t>
          </w:r>
          <w:r>
            <w:fldChar w:fldCharType="end"/>
          </w:r>
          <w:r>
            <w:fldChar w:fldCharType="end"/>
          </w:r>
        </w:p>
        <w:p>
          <w:pPr>
            <w:pStyle w:val="11"/>
            <w:rPr>
              <w:rFonts w:cstheme="minorBidi"/>
              <w:kern w:val="2"/>
              <w:sz w:val="21"/>
            </w:rPr>
          </w:pPr>
          <w:r>
            <w:fldChar w:fldCharType="begin"/>
          </w:r>
          <w:r>
            <w:instrText xml:space="preserve"> HYPERLINK \l "_Toc150354737" </w:instrText>
          </w:r>
          <w:r>
            <w:fldChar w:fldCharType="separate"/>
          </w:r>
          <w:r>
            <w:rPr>
              <w:rStyle w:val="15"/>
              <w:rFonts w:ascii="Times New Roman" w:hAnsi="Times New Roman" w:eastAsia="宋体"/>
            </w:rPr>
            <w:t>7.2</w:t>
          </w:r>
          <w:r>
            <w:rPr>
              <w:rFonts w:cstheme="minorBidi"/>
              <w:kern w:val="2"/>
              <w:sz w:val="21"/>
            </w:rPr>
            <w:tab/>
          </w:r>
          <w:r>
            <w:rPr>
              <w:rStyle w:val="15"/>
              <w:rFonts w:ascii="Times New Roman" w:hAnsi="Times New Roman" w:eastAsia="宋体"/>
            </w:rPr>
            <w:t>公开征求意见情况</w:t>
          </w:r>
          <w:r>
            <w:tab/>
          </w:r>
          <w:r>
            <w:fldChar w:fldCharType="begin"/>
          </w:r>
          <w:r>
            <w:instrText xml:space="preserve"> PAGEREF _Toc150354737 \h </w:instrText>
          </w:r>
          <w:r>
            <w:fldChar w:fldCharType="separate"/>
          </w:r>
          <w:r>
            <w:t>25</w:t>
          </w:r>
          <w:r>
            <w:fldChar w:fldCharType="end"/>
          </w:r>
          <w:r>
            <w:fldChar w:fldCharType="end"/>
          </w:r>
        </w:p>
        <w:p>
          <w:pPr>
            <w:pStyle w:val="10"/>
            <w:tabs>
              <w:tab w:val="left" w:pos="440"/>
              <w:tab w:val="right" w:leader="dot" w:pos="8296"/>
            </w:tabs>
            <w:rPr>
              <w:rFonts w:cstheme="minorBidi"/>
              <w:kern w:val="2"/>
              <w:sz w:val="21"/>
            </w:rPr>
          </w:pPr>
          <w:r>
            <w:fldChar w:fldCharType="begin"/>
          </w:r>
          <w:r>
            <w:instrText xml:space="preserve"> HYPERLINK \l "_Toc150354738" </w:instrText>
          </w:r>
          <w:r>
            <w:fldChar w:fldCharType="separate"/>
          </w:r>
          <w:r>
            <w:rPr>
              <w:rStyle w:val="15"/>
              <w:rFonts w:ascii="Times New Roman" w:hAnsi="Times New Roman" w:eastAsia="宋体"/>
            </w:rPr>
            <w:t>8</w:t>
          </w:r>
          <w:r>
            <w:rPr>
              <w:rFonts w:cstheme="minorBidi"/>
              <w:kern w:val="2"/>
              <w:sz w:val="21"/>
            </w:rPr>
            <w:tab/>
          </w:r>
          <w:r>
            <w:rPr>
              <w:rStyle w:val="15"/>
              <w:rFonts w:ascii="Times New Roman" w:hAnsi="Times New Roman" w:eastAsia="宋体"/>
            </w:rPr>
            <w:t>保障措施</w:t>
          </w:r>
          <w:r>
            <w:tab/>
          </w:r>
          <w:r>
            <w:fldChar w:fldCharType="begin"/>
          </w:r>
          <w:r>
            <w:instrText xml:space="preserve"> PAGEREF _Toc150354738 \h </w:instrText>
          </w:r>
          <w:r>
            <w:fldChar w:fldCharType="separate"/>
          </w:r>
          <w:r>
            <w:t>26</w:t>
          </w:r>
          <w:r>
            <w:fldChar w:fldCharType="end"/>
          </w:r>
          <w:r>
            <w:fldChar w:fldCharType="end"/>
          </w:r>
        </w:p>
        <w:p>
          <w:pPr>
            <w:pStyle w:val="11"/>
            <w:rPr>
              <w:rFonts w:cstheme="minorBidi"/>
              <w:kern w:val="2"/>
              <w:sz w:val="21"/>
            </w:rPr>
          </w:pPr>
          <w:r>
            <w:fldChar w:fldCharType="begin"/>
          </w:r>
          <w:r>
            <w:instrText xml:space="preserve"> HYPERLINK \l "_Toc150354739" </w:instrText>
          </w:r>
          <w:r>
            <w:fldChar w:fldCharType="separate"/>
          </w:r>
          <w:r>
            <w:rPr>
              <w:rStyle w:val="15"/>
              <w:rFonts w:ascii="Times New Roman" w:hAnsi="Times New Roman" w:eastAsia="宋体"/>
            </w:rPr>
            <w:t>8.1</w:t>
          </w:r>
          <w:r>
            <w:rPr>
              <w:rFonts w:cstheme="minorBidi"/>
              <w:kern w:val="2"/>
              <w:sz w:val="21"/>
            </w:rPr>
            <w:tab/>
          </w:r>
          <w:r>
            <w:rPr>
              <w:rStyle w:val="15"/>
              <w:rFonts w:ascii="Times New Roman" w:hAnsi="Times New Roman" w:eastAsia="宋体"/>
            </w:rPr>
            <w:t>组织保障</w:t>
          </w:r>
          <w:r>
            <w:tab/>
          </w:r>
          <w:r>
            <w:fldChar w:fldCharType="begin"/>
          </w:r>
          <w:r>
            <w:instrText xml:space="preserve"> PAGEREF _Toc150354739 \h </w:instrText>
          </w:r>
          <w:r>
            <w:fldChar w:fldCharType="separate"/>
          </w:r>
          <w:r>
            <w:t>26</w:t>
          </w:r>
          <w:r>
            <w:fldChar w:fldCharType="end"/>
          </w:r>
          <w:r>
            <w:fldChar w:fldCharType="end"/>
          </w:r>
        </w:p>
        <w:p>
          <w:pPr>
            <w:pStyle w:val="11"/>
            <w:rPr>
              <w:rFonts w:cstheme="minorBidi"/>
              <w:kern w:val="2"/>
              <w:sz w:val="21"/>
            </w:rPr>
          </w:pPr>
          <w:r>
            <w:fldChar w:fldCharType="begin"/>
          </w:r>
          <w:r>
            <w:instrText xml:space="preserve"> HYPERLINK \l "_Toc150354740" </w:instrText>
          </w:r>
          <w:r>
            <w:fldChar w:fldCharType="separate"/>
          </w:r>
          <w:r>
            <w:rPr>
              <w:rStyle w:val="15"/>
              <w:rFonts w:ascii="Times New Roman" w:hAnsi="Times New Roman" w:eastAsia="宋体"/>
            </w:rPr>
            <w:t>8.2</w:t>
          </w:r>
          <w:r>
            <w:rPr>
              <w:rFonts w:cstheme="minorBidi"/>
              <w:kern w:val="2"/>
              <w:sz w:val="21"/>
            </w:rPr>
            <w:tab/>
          </w:r>
          <w:r>
            <w:rPr>
              <w:rStyle w:val="15"/>
              <w:rFonts w:ascii="Times New Roman" w:hAnsi="Times New Roman" w:eastAsia="宋体"/>
            </w:rPr>
            <w:t>经济保障</w:t>
          </w:r>
          <w:r>
            <w:tab/>
          </w:r>
          <w:r>
            <w:fldChar w:fldCharType="begin"/>
          </w:r>
          <w:r>
            <w:instrText xml:space="preserve"> PAGEREF _Toc150354740 \h </w:instrText>
          </w:r>
          <w:r>
            <w:fldChar w:fldCharType="separate"/>
          </w:r>
          <w:r>
            <w:t>26</w:t>
          </w:r>
          <w:r>
            <w:fldChar w:fldCharType="end"/>
          </w:r>
          <w:r>
            <w:fldChar w:fldCharType="end"/>
          </w:r>
        </w:p>
        <w:p>
          <w:pPr>
            <w:pStyle w:val="11"/>
            <w:rPr>
              <w:rFonts w:cstheme="minorBidi"/>
              <w:kern w:val="2"/>
              <w:sz w:val="21"/>
            </w:rPr>
          </w:pPr>
          <w:r>
            <w:fldChar w:fldCharType="begin"/>
          </w:r>
          <w:r>
            <w:instrText xml:space="preserve"> HYPERLINK \l "_Toc150354741" </w:instrText>
          </w:r>
          <w:r>
            <w:fldChar w:fldCharType="separate"/>
          </w:r>
          <w:r>
            <w:rPr>
              <w:rStyle w:val="15"/>
              <w:rFonts w:ascii="Times New Roman" w:hAnsi="Times New Roman" w:eastAsia="宋体"/>
            </w:rPr>
            <w:t>8.3</w:t>
          </w:r>
          <w:r>
            <w:rPr>
              <w:rFonts w:cstheme="minorBidi"/>
              <w:kern w:val="2"/>
              <w:sz w:val="21"/>
            </w:rPr>
            <w:tab/>
          </w:r>
          <w:r>
            <w:rPr>
              <w:rStyle w:val="15"/>
              <w:rFonts w:ascii="Times New Roman" w:hAnsi="Times New Roman" w:eastAsia="宋体"/>
            </w:rPr>
            <w:t>其他保障</w:t>
          </w:r>
          <w:r>
            <w:tab/>
          </w:r>
          <w:r>
            <w:fldChar w:fldCharType="begin"/>
          </w:r>
          <w:r>
            <w:instrText xml:space="preserve"> PAGEREF _Toc150354741 \h </w:instrText>
          </w:r>
          <w:r>
            <w:fldChar w:fldCharType="separate"/>
          </w:r>
          <w:r>
            <w:t>26</w:t>
          </w:r>
          <w:r>
            <w:fldChar w:fldCharType="end"/>
          </w:r>
          <w:r>
            <w:fldChar w:fldCharType="end"/>
          </w:r>
        </w:p>
        <w:p>
          <w:pPr>
            <w:pStyle w:val="10"/>
            <w:tabs>
              <w:tab w:val="right" w:leader="dot" w:pos="8296"/>
            </w:tabs>
            <w:rPr>
              <w:rFonts w:cstheme="minorBidi"/>
              <w:kern w:val="2"/>
              <w:sz w:val="21"/>
            </w:rPr>
          </w:pPr>
          <w:r>
            <w:fldChar w:fldCharType="begin"/>
          </w:r>
          <w:r>
            <w:instrText xml:space="preserve"> HYPERLINK \l "_Toc150354742" </w:instrText>
          </w:r>
          <w:r>
            <w:fldChar w:fldCharType="separate"/>
          </w:r>
          <w:r>
            <w:rPr>
              <w:rStyle w:val="15"/>
              <w:rFonts w:ascii="Times New Roman" w:hAnsi="Times New Roman" w:eastAsia="宋体"/>
            </w:rPr>
            <w:t>附表</w:t>
          </w:r>
          <w:r>
            <w:tab/>
          </w:r>
          <w:r>
            <w:fldChar w:fldCharType="begin"/>
          </w:r>
          <w:r>
            <w:instrText xml:space="preserve"> PAGEREF _Toc150354742 \h </w:instrText>
          </w:r>
          <w:r>
            <w:fldChar w:fldCharType="separate"/>
          </w:r>
          <w:r>
            <w:t>29</w:t>
          </w:r>
          <w:r>
            <w:fldChar w:fldCharType="end"/>
          </w:r>
          <w:r>
            <w:fldChar w:fldCharType="end"/>
          </w:r>
        </w:p>
        <w:p>
          <w:pPr>
            <w:ind w:firstLine="0" w:firstLineChars="0"/>
            <w:rPr>
              <w:rFonts w:ascii="Times New Roman" w:hAnsi="Times New Roman" w:eastAsia="宋体" w:cs="Times New Roman"/>
              <w:szCs w:val="28"/>
            </w:rPr>
            <w:sectPr>
              <w:headerReference r:id="rId11" w:type="default"/>
              <w:footerReference r:id="rId12" w:type="default"/>
              <w:pgSz w:w="11906" w:h="16838"/>
              <w:pgMar w:top="1440" w:right="1800" w:bottom="1440" w:left="1800" w:header="851" w:footer="992" w:gutter="0"/>
              <w:pgNumType w:fmt="upperRoman" w:start="1"/>
              <w:cols w:space="425" w:num="1"/>
              <w:docGrid w:type="lines" w:linePitch="312" w:charSpace="0"/>
            </w:sectPr>
          </w:pPr>
          <w:r>
            <w:rPr>
              <w:rFonts w:ascii="Times New Roman" w:hAnsi="Times New Roman" w:eastAsia="宋体" w:cs="Times New Roman"/>
              <w:b/>
              <w:bCs/>
              <w:szCs w:val="28"/>
              <w:lang w:val="zh-CN"/>
            </w:rPr>
            <w:fldChar w:fldCharType="end"/>
          </w:r>
        </w:p>
      </w:sdtContent>
    </w:sdt>
    <w:p>
      <w:pPr>
        <w:pStyle w:val="2"/>
        <w:rPr>
          <w:rFonts w:ascii="Times New Roman" w:hAnsi="Times New Roman" w:eastAsia="宋体" w:cs="Times New Roman"/>
        </w:rPr>
      </w:pPr>
      <w:bookmarkStart w:id="0" w:name="_Toc150354708"/>
      <w:r>
        <w:rPr>
          <w:rFonts w:ascii="Times New Roman" w:hAnsi="Times New Roman" w:eastAsia="宋体" w:cs="Times New Roman"/>
        </w:rPr>
        <w:t>概述</w:t>
      </w:r>
      <w:bookmarkEnd w:id="0"/>
    </w:p>
    <w:p>
      <w:pPr>
        <w:pStyle w:val="3"/>
        <w:numPr>
          <w:ilvl w:val="1"/>
          <w:numId w:val="1"/>
        </w:numPr>
        <w:ind w:firstLineChars="0"/>
        <w:rPr>
          <w:rFonts w:ascii="Times New Roman" w:hAnsi="Times New Roman" w:eastAsia="宋体" w:cs="Times New Roman"/>
        </w:rPr>
      </w:pPr>
      <w:bookmarkStart w:id="1" w:name="_Toc150354709"/>
      <w:r>
        <w:rPr>
          <w:rFonts w:ascii="Times New Roman" w:hAnsi="Times New Roman" w:eastAsia="宋体" w:cs="Times New Roman"/>
        </w:rPr>
        <w:t>背景</w:t>
      </w:r>
      <w:bookmarkEnd w:id="1"/>
    </w:p>
    <w:p>
      <w:pPr>
        <w:rPr>
          <w:rFonts w:ascii="Times New Roman" w:hAnsi="Times New Roman" w:eastAsia="宋体" w:cs="Times New Roman"/>
        </w:rPr>
      </w:pPr>
      <w:r>
        <w:rPr>
          <w:rFonts w:ascii="Times New Roman" w:hAnsi="Times New Roman" w:eastAsia="宋体" w:cs="Times New Roman"/>
        </w:rPr>
        <w:t>1.1.1编制背景</w:t>
      </w:r>
    </w:p>
    <w:p>
      <w:pPr>
        <w:rPr>
          <w:rFonts w:ascii="Times New Roman" w:hAnsi="Times New Roman" w:eastAsia="宋体" w:cs="Times New Roman"/>
        </w:rPr>
      </w:pPr>
      <w:r>
        <w:rPr>
          <w:rFonts w:ascii="Times New Roman" w:hAnsi="Times New Roman" w:eastAsia="宋体" w:cs="Times New Roman"/>
        </w:rPr>
        <w:t>新修订的《中华人民共和国土地管理法》已于2020年1月1日实施。按照党的十八届三中全会确定的缩小征地范围、规范征地程序、完善对被征地农民合理规范多元保障机制的改革要求，新修订的《土地管理法》第四十五条采用列举方式明确了属于公共利益可以征收土地的六种情形。同时，考虑到我国正处于工业化、城镇化快速推进的时期，为了满足城市发展用地需求，第五种情形规定：“在土地利用总体规划确定的城镇建设用地范围内，经省级以上人民政府批准由县级以上人民政府组织实施的成片开发建设需要用地的”。同时规定，成片开发应当符合国务院自然资源主管部门规定的标准。</w:t>
      </w:r>
    </w:p>
    <w:p>
      <w:pPr>
        <w:rPr>
          <w:rFonts w:ascii="Times New Roman" w:hAnsi="Times New Roman" w:eastAsia="宋体" w:cs="Times New Roman"/>
        </w:rPr>
      </w:pPr>
      <w:r>
        <w:rPr>
          <w:rFonts w:ascii="Times New Roman" w:hAnsi="Times New Roman" w:eastAsia="宋体" w:cs="Times New Roman"/>
        </w:rPr>
        <w:t>宪法第十条和《</w:t>
      </w:r>
      <w:r>
        <w:rPr>
          <w:rFonts w:ascii="Times New Roman" w:hAnsi="Times New Roman" w:eastAsia="宋体" w:cs="Times New Roman"/>
        </w:rPr>
        <w:t>中华人民共和国土地管理法</w:t>
      </w:r>
      <w:r>
        <w:rPr>
          <w:rFonts w:ascii="Times New Roman" w:hAnsi="Times New Roman" w:eastAsia="宋体" w:cs="Times New Roman"/>
        </w:rPr>
        <w:t>》第二条均规定：国家为了公共利益的需要，可以依照法律规定对土地实行征收或者征用并给予补偿。原《</w:t>
      </w:r>
      <w:r>
        <w:rPr>
          <w:rFonts w:ascii="Times New Roman" w:hAnsi="Times New Roman" w:eastAsia="宋体" w:cs="Times New Roman"/>
        </w:rPr>
        <w:t>中华人民共和国土地管理法</w:t>
      </w:r>
      <w:r>
        <w:rPr>
          <w:rFonts w:ascii="Times New Roman" w:hAnsi="Times New Roman" w:eastAsia="宋体" w:cs="Times New Roman"/>
        </w:rPr>
        <w:t>》第四十三条规定：“任何单位和个人进行建设，需要使用土地</w:t>
      </w:r>
      <w:bookmarkStart w:id="38" w:name="_GoBack"/>
      <w:bookmarkEnd w:id="38"/>
      <w:r>
        <w:rPr>
          <w:rFonts w:ascii="Times New Roman" w:hAnsi="Times New Roman" w:eastAsia="宋体" w:cs="Times New Roman"/>
        </w:rPr>
        <w:t>的，必须依法申请使用国有土地。”这一规定使土地征收成为各类建设使用土地的唯一途径。土地征收制度在促进了我国工业化城镇化快速发展的同时，也暴露出征地规模过大、征地程序不规范、被征地农民合法权益保障不充分等问题。</w:t>
      </w:r>
    </w:p>
    <w:p>
      <w:pPr>
        <w:rPr>
          <w:rFonts w:ascii="Times New Roman" w:hAnsi="Times New Roman" w:eastAsia="宋体" w:cs="Times New Roman"/>
        </w:rPr>
      </w:pPr>
      <w:r>
        <w:rPr>
          <w:rFonts w:ascii="Times New Roman" w:hAnsi="Times New Roman" w:eastAsia="宋体" w:cs="Times New Roman"/>
        </w:rPr>
        <w:t>《中华人民共和国土地管理法》第45条（五）规定：为了公共利益的需要，在土地利用总体规划确定的城镇建设用地范围内，经省级以上人民政府批准由县级以上地方人民政府组织实施的成片开发建设需要用地的，确需征收农民集体所有的土地的，可以依法实施征收；成片开发用地需符合自然资源部规定的标准方可实施征地。并规定依据当地国民经济和社会发展规划、国土空间规划，组织编制土地征收成片开发方案，纳入当地国民经济和社会发展年度计划，并报省级人民政府批准。</w:t>
      </w:r>
    </w:p>
    <w:p>
      <w:pPr>
        <w:rPr>
          <w:rFonts w:ascii="Times New Roman" w:hAnsi="Times New Roman" w:eastAsia="宋体" w:cs="Times New Roman"/>
        </w:rPr>
      </w:pPr>
      <w:r>
        <w:rPr>
          <w:rFonts w:ascii="Times New Roman" w:hAnsi="Times New Roman" w:eastAsia="宋体" w:cs="Times New Roman"/>
        </w:rPr>
        <w:t>2020年11月5日，自然资源部下发了关于印发《土地征收成片开发标准（试行）》的通知，2021年8月26日，辽宁省自然资源厅下发了《关于做好土地征收成片开发工作的通知》。</w:t>
      </w:r>
      <w:r>
        <w:rPr>
          <w:rFonts w:hint="eastAsia" w:ascii="Times New Roman" w:hAnsi="Times New Roman" w:eastAsia="宋体" w:cs="Times New Roman"/>
        </w:rPr>
        <w:t xml:space="preserve"> 2023年10月31日，</w:t>
      </w:r>
      <w:r>
        <w:rPr>
          <w:rFonts w:ascii="Times New Roman" w:hAnsi="Times New Roman" w:eastAsia="宋体" w:cs="Times New Roman"/>
        </w:rPr>
        <w:t>自然资源部下发了关于印发《土地征收成片开发标准》</w:t>
      </w:r>
      <w:r>
        <w:rPr>
          <w:rFonts w:hint="eastAsia" w:ascii="Times New Roman" w:hAnsi="Times New Roman" w:eastAsia="宋体" w:cs="Times New Roman"/>
        </w:rPr>
        <w:t>，自2023年11月5日起施行。部、</w:t>
      </w:r>
      <w:r>
        <w:rPr>
          <w:rFonts w:ascii="Times New Roman" w:hAnsi="Times New Roman" w:eastAsia="宋体" w:cs="Times New Roman"/>
        </w:rPr>
        <w:t>省下发的文件对成片开发方案的编制内容、编制条件等进行了确定，对土地征收成片开发方案涉及的各部门职责、审批程序、实施监督、文本内容等进行了相应规定说明，为土地征收成片开发方案的编制提供依据。</w:t>
      </w:r>
    </w:p>
    <w:p>
      <w:pPr>
        <w:rPr>
          <w:rFonts w:ascii="Times New Roman" w:hAnsi="Times New Roman" w:eastAsia="宋体" w:cs="Times New Roman"/>
        </w:rPr>
      </w:pPr>
      <w:r>
        <w:rPr>
          <w:rFonts w:ascii="Times New Roman" w:hAnsi="Times New Roman" w:eastAsia="宋体" w:cs="Times New Roman"/>
        </w:rPr>
        <w:t>“十四五”期间，东洲区将贯彻落实市委、市政府建设“两大基地”，发展“六大产业”，推进“三个融合”，建设“五个抚顺”的总体发展思路，实现创新抚顺、活力抚顺、绿色抚顺、文明抚顺、幸福抚顺建设达到更高水平，基本实现社会主义现代化，新时代全面振兴全方位振兴的远景目标。结合抚顺市东洲区发展规划，近期急需建设的地块主要用途为工业用地和</w:t>
      </w:r>
      <w:r>
        <w:rPr>
          <w:rFonts w:hint="eastAsia" w:ascii="Times New Roman" w:hAnsi="Times New Roman" w:eastAsia="宋体" w:cs="Times New Roman"/>
        </w:rPr>
        <w:t>公用设施营业网点用地</w:t>
      </w:r>
      <w:r>
        <w:rPr>
          <w:rFonts w:ascii="Times New Roman" w:hAnsi="Times New Roman" w:eastAsia="宋体" w:cs="Times New Roman"/>
        </w:rPr>
        <w:t>。为确保项目用地符合征地程序要求，需组织编制土地征收成片开发方案。为保障东洲区项目顺利实施建设，依法依规合理利用土地，规范征地程序，保障被征地农民的合法权益，强化成片开发对公共利益的贡献，东洲区积极推进、贯彻落实国家、省关于土地征收成片开发的指示精神，根据《中华人民共和国土地管理法》、《土地征收成片开发标准》等要求，由抚顺市东洲区人民政府主导，抚顺市自然资源局东洲分局具体负责，组织编制《抚顺市东洲区2023年土地征收成片开发方案（第</w:t>
      </w:r>
      <w:r>
        <w:rPr>
          <w:rFonts w:hint="eastAsia" w:ascii="Times New Roman" w:hAnsi="Times New Roman" w:eastAsia="宋体" w:cs="Times New Roman"/>
        </w:rPr>
        <w:t>3</w:t>
      </w:r>
      <w:r>
        <w:rPr>
          <w:rFonts w:ascii="Times New Roman" w:hAnsi="Times New Roman" w:eastAsia="宋体" w:cs="Times New Roman"/>
        </w:rPr>
        <w:t>批）》。</w:t>
      </w:r>
    </w:p>
    <w:p>
      <w:pPr>
        <w:rPr>
          <w:rFonts w:ascii="Times New Roman" w:hAnsi="Times New Roman" w:eastAsia="宋体" w:cs="Times New Roman"/>
        </w:rPr>
      </w:pPr>
      <w:r>
        <w:rPr>
          <w:rFonts w:ascii="Times New Roman" w:hAnsi="Times New Roman" w:eastAsia="宋体" w:cs="Times New Roman"/>
        </w:rPr>
        <w:t>1.1.2区域概况</w:t>
      </w:r>
    </w:p>
    <w:p>
      <w:pPr>
        <w:rPr>
          <w:rFonts w:ascii="Times New Roman" w:hAnsi="Times New Roman" w:eastAsia="宋体" w:cs="Times New Roman"/>
        </w:rPr>
      </w:pPr>
      <w:r>
        <w:rPr>
          <w:rFonts w:ascii="Times New Roman" w:hAnsi="Times New Roman" w:eastAsia="宋体" w:cs="Times New Roman"/>
        </w:rPr>
        <w:t>东洲区是辽宁省抚顺市下辖区，位于辽宁省抚顺市区东南，距辽宁省省会城市沈阳仅50公里。东洲区以搭连立交桥为枢纽的干道分别与沈吉高速公路、抚本高速公路、沈环三条高速公路连接，省道S104贯穿全境，距沈阳桃仙国际机场50公里，距沈抚高速公路10公里。</w:t>
      </w:r>
    </w:p>
    <w:p>
      <w:pPr>
        <w:rPr>
          <w:rFonts w:ascii="Times New Roman" w:hAnsi="Times New Roman" w:eastAsia="宋体" w:cs="Times New Roman"/>
        </w:rPr>
      </w:pPr>
      <w:r>
        <w:rPr>
          <w:rFonts w:ascii="Times New Roman" w:hAnsi="Times New Roman" w:eastAsia="宋体" w:cs="Times New Roman"/>
        </w:rPr>
        <w:t>近年来，东洲区大力落实乡村振兴战略，提升城市宜居品质，全力促进改革，优化服务，不断提升区域发展活力。2022年，</w:t>
      </w:r>
      <w:r>
        <w:rPr>
          <w:rFonts w:hint="eastAsia" w:ascii="Times New Roman" w:hAnsi="Times New Roman" w:eastAsia="宋体" w:cs="Times New Roman"/>
        </w:rPr>
        <w:t>全区地区生产总值增长8.7%，规模以上工业增加值增长15%，固定资产投资增长23%，一般公共预算区级收入（按可比口径）增长3.1%，城镇居民人均可支配收入增长4.5%。</w:t>
      </w:r>
      <w:r>
        <w:rPr>
          <w:rFonts w:ascii="Times New Roman" w:hAnsi="Times New Roman" w:eastAsia="宋体" w:cs="Times New Roman"/>
        </w:rPr>
        <w:t>全年旅游接待人数达260余万人次，旅游总收入达5.3亿元。</w:t>
      </w:r>
      <w:r>
        <w:rPr>
          <w:rFonts w:hint="eastAsia" w:ascii="Times New Roman" w:hAnsi="Times New Roman" w:eastAsia="宋体" w:cs="Times New Roman"/>
        </w:rPr>
        <w:t>东洲区</w:t>
      </w:r>
      <w:r>
        <w:rPr>
          <w:rFonts w:ascii="Times New Roman" w:hAnsi="Times New Roman" w:eastAsia="宋体" w:cs="Times New Roman"/>
        </w:rPr>
        <w:t>全力调结构、稳增长，经济运行质效实现新跨越，精细化工、生物医药、碳材料和新能源电池新四大产业集群发展取得显著成效，全区规模以上工业企业达70家，规模以上工业总产值将突破680亿元、增长40%，均位列全市第一。完成产学研合作成果转化项目5个，培育科技型中小企业58家。高新区顺利通过省化工园区（第二批）认定，获评全省唯一绿色工业园区称号，高新技术企业超60家，瞪羚、雏鹰企业超35家，集聚了全市50%以上的科技型企业、80%以上的“小巨人”企业和“专精特新”产品。</w:t>
      </w:r>
    </w:p>
    <w:p>
      <w:pPr>
        <w:rPr>
          <w:rFonts w:ascii="Times New Roman" w:hAnsi="Times New Roman" w:eastAsia="宋体" w:cs="Times New Roman"/>
        </w:rPr>
      </w:pPr>
      <w:r>
        <w:rPr>
          <w:rFonts w:ascii="Times New Roman" w:hAnsi="Times New Roman" w:eastAsia="宋体" w:cs="Times New Roman"/>
        </w:rPr>
        <w:t>1.1.3已批准方案实施情况</w:t>
      </w:r>
    </w:p>
    <w:p>
      <w:pPr>
        <w:rPr>
          <w:rFonts w:ascii="Times New Roman" w:hAnsi="Times New Roman" w:eastAsia="宋体" w:cs="Times New Roman"/>
        </w:rPr>
      </w:pPr>
      <w:r>
        <w:rPr>
          <w:rFonts w:ascii="Times New Roman" w:hAnsi="Times New Roman" w:eastAsia="宋体" w:cs="Times New Roman"/>
        </w:rPr>
        <w:t>2022年6月9日</w:t>
      </w:r>
      <w:r>
        <w:rPr>
          <w:rFonts w:hint="eastAsia" w:ascii="Times New Roman" w:hAnsi="Times New Roman" w:eastAsia="宋体" w:cs="Times New Roman"/>
        </w:rPr>
        <w:t>，</w:t>
      </w:r>
      <w:r>
        <w:rPr>
          <w:rFonts w:ascii="Times New Roman" w:hAnsi="Times New Roman" w:eastAsia="宋体" w:cs="Times New Roman"/>
        </w:rPr>
        <w:t>抚顺市人民政府批准了《抚顺市东洲区2022年土地征收成片开发方案（第1批）》，</w:t>
      </w:r>
      <w:r>
        <w:rPr>
          <w:rFonts w:hint="eastAsia" w:ascii="Times New Roman" w:hAnsi="Times New Roman" w:eastAsia="宋体" w:cs="Times New Roman"/>
        </w:rPr>
        <w:t>2023年8月10日</w:t>
      </w:r>
      <w:r>
        <w:rPr>
          <w:rFonts w:ascii="Times New Roman" w:hAnsi="Times New Roman" w:eastAsia="宋体" w:cs="Times New Roman"/>
        </w:rPr>
        <w:t>批准了《抚顺市东洲区202</w:t>
      </w:r>
      <w:r>
        <w:rPr>
          <w:rFonts w:hint="eastAsia" w:ascii="Times New Roman" w:hAnsi="Times New Roman" w:eastAsia="宋体" w:cs="Times New Roman"/>
        </w:rPr>
        <w:t>3</w:t>
      </w:r>
      <w:r>
        <w:rPr>
          <w:rFonts w:ascii="Times New Roman" w:hAnsi="Times New Roman" w:eastAsia="宋体" w:cs="Times New Roman"/>
        </w:rPr>
        <w:t>年土地征收成片开发方案（第1批）》，</w:t>
      </w:r>
      <w:r>
        <w:rPr>
          <w:rFonts w:hint="eastAsia" w:ascii="Times New Roman" w:hAnsi="Times New Roman" w:eastAsia="宋体" w:cs="Times New Roman"/>
        </w:rPr>
        <w:t>2023年8月16日</w:t>
      </w:r>
      <w:r>
        <w:rPr>
          <w:rFonts w:ascii="Times New Roman" w:hAnsi="Times New Roman" w:eastAsia="宋体" w:cs="Times New Roman"/>
        </w:rPr>
        <w:t>批准了《抚顺市东洲区202</w:t>
      </w:r>
      <w:r>
        <w:rPr>
          <w:rFonts w:hint="eastAsia" w:ascii="Times New Roman" w:hAnsi="Times New Roman" w:eastAsia="宋体" w:cs="Times New Roman"/>
        </w:rPr>
        <w:t>3</w:t>
      </w:r>
      <w:r>
        <w:rPr>
          <w:rFonts w:ascii="Times New Roman" w:hAnsi="Times New Roman" w:eastAsia="宋体" w:cs="Times New Roman"/>
        </w:rPr>
        <w:t>年土地征收成片开发方案（第</w:t>
      </w:r>
      <w:r>
        <w:rPr>
          <w:rFonts w:hint="eastAsia" w:ascii="Times New Roman" w:hAnsi="Times New Roman" w:eastAsia="宋体" w:cs="Times New Roman"/>
        </w:rPr>
        <w:t>2</w:t>
      </w:r>
      <w:r>
        <w:rPr>
          <w:rFonts w:ascii="Times New Roman" w:hAnsi="Times New Roman" w:eastAsia="宋体" w:cs="Times New Roman"/>
        </w:rPr>
        <w:t>批）》</w:t>
      </w:r>
      <w:r>
        <w:rPr>
          <w:rFonts w:hint="eastAsia" w:ascii="Times New Roman" w:hAnsi="Times New Roman" w:eastAsia="宋体" w:cs="Times New Roman"/>
        </w:rPr>
        <w:t>。</w:t>
      </w:r>
      <w:r>
        <w:rPr>
          <w:rFonts w:ascii="Times New Roman" w:hAnsi="Times New Roman" w:eastAsia="宋体" w:cs="Times New Roman"/>
        </w:rPr>
        <w:t>截至2023年</w:t>
      </w:r>
      <w:r>
        <w:rPr>
          <w:rFonts w:hint="eastAsia" w:ascii="Times New Roman" w:hAnsi="Times New Roman" w:eastAsia="宋体" w:cs="Times New Roman"/>
        </w:rPr>
        <w:t>11</w:t>
      </w:r>
      <w:r>
        <w:rPr>
          <w:rFonts w:ascii="Times New Roman" w:hAnsi="Times New Roman" w:eastAsia="宋体" w:cs="Times New Roman"/>
        </w:rPr>
        <w:t>月，</w:t>
      </w:r>
      <w:r>
        <w:rPr>
          <w:rFonts w:hint="eastAsia" w:ascii="Times New Roman" w:hAnsi="Times New Roman" w:eastAsia="宋体" w:cs="Times New Roman"/>
        </w:rPr>
        <w:t>涉及新增建设用地组卷工作正在进行</w:t>
      </w:r>
      <w:r>
        <w:rPr>
          <w:rFonts w:ascii="Times New Roman" w:hAnsi="Times New Roman" w:eastAsia="宋体" w:cs="Times New Roman"/>
        </w:rPr>
        <w:t>。</w:t>
      </w:r>
    </w:p>
    <w:p>
      <w:pPr>
        <w:rPr>
          <w:rFonts w:ascii="Times New Roman" w:hAnsi="Times New Roman" w:eastAsia="宋体" w:cs="Times New Roman"/>
        </w:rPr>
      </w:pPr>
      <w:r>
        <w:rPr>
          <w:rFonts w:hint="eastAsia" w:ascii="Times New Roman" w:hAnsi="Times New Roman" w:eastAsia="宋体" w:cs="Times New Roman"/>
        </w:rPr>
        <w:t>截至2023年11月，</w:t>
      </w:r>
      <w:r>
        <w:rPr>
          <w:rFonts w:ascii="Times New Roman" w:hAnsi="Times New Roman" w:eastAsia="宋体" w:cs="Times New Roman"/>
        </w:rPr>
        <w:t>东洲区</w:t>
      </w:r>
      <w:r>
        <w:rPr>
          <w:rFonts w:hint="eastAsia" w:ascii="Times New Roman" w:hAnsi="Times New Roman" w:eastAsia="宋体" w:cs="Times New Roman"/>
        </w:rPr>
        <w:t>不存在连续两年未完成方案安排的年度实施计划的情况；</w:t>
      </w:r>
      <w:r>
        <w:rPr>
          <w:rFonts w:ascii="Times New Roman" w:hAnsi="Times New Roman" w:eastAsia="宋体" w:cs="Times New Roman"/>
        </w:rPr>
        <w:t>高新区不存在土地利用效率低下的情况，符合方案编制条件。</w:t>
      </w:r>
      <w:r>
        <w:rPr>
          <w:rFonts w:hint="eastAsia" w:ascii="Times New Roman" w:hAnsi="Times New Roman" w:eastAsia="宋体" w:cs="Times New Roman"/>
        </w:rPr>
        <w:t>详见附件1。</w:t>
      </w:r>
    </w:p>
    <w:p>
      <w:pPr>
        <w:pStyle w:val="3"/>
        <w:numPr>
          <w:ilvl w:val="1"/>
          <w:numId w:val="1"/>
        </w:numPr>
        <w:ind w:firstLineChars="0"/>
        <w:rPr>
          <w:rFonts w:ascii="Times New Roman" w:hAnsi="Times New Roman" w:eastAsia="宋体" w:cs="Times New Roman"/>
        </w:rPr>
      </w:pPr>
      <w:bookmarkStart w:id="2" w:name="_Toc150354710"/>
      <w:r>
        <w:rPr>
          <w:rFonts w:ascii="Times New Roman" w:hAnsi="Times New Roman" w:eastAsia="宋体" w:cs="Times New Roman"/>
        </w:rPr>
        <w:t>编制原则</w:t>
      </w:r>
      <w:bookmarkEnd w:id="2"/>
      <w:r>
        <w:rPr>
          <w:rFonts w:ascii="Times New Roman" w:hAnsi="Times New Roman" w:eastAsia="宋体" w:cs="Times New Roman"/>
        </w:rPr>
        <w:t xml:space="preserve"> </w:t>
      </w:r>
    </w:p>
    <w:p>
      <w:pPr>
        <w:rPr>
          <w:rFonts w:ascii="Times New Roman" w:hAnsi="Times New Roman" w:eastAsia="宋体" w:cs="Times New Roman"/>
        </w:rPr>
      </w:pPr>
      <w:r>
        <w:rPr>
          <w:rFonts w:ascii="Times New Roman" w:hAnsi="Times New Roman" w:eastAsia="宋体" w:cs="Times New Roman"/>
        </w:rPr>
        <w:t>1.2.1遵守法律法规、维护公共利益原则</w:t>
      </w:r>
    </w:p>
    <w:p>
      <w:pPr>
        <w:rPr>
          <w:rFonts w:ascii="Times New Roman" w:hAnsi="Times New Roman" w:eastAsia="宋体" w:cs="Times New Roman"/>
        </w:rPr>
      </w:pPr>
      <w:r>
        <w:rPr>
          <w:rFonts w:ascii="Times New Roman" w:hAnsi="Times New Roman" w:eastAsia="宋体" w:cs="Times New Roman"/>
        </w:rPr>
        <w:t>土地征收成片开发应遵循相关法律、法规和规程的规定，符合国民经济和社会发展规划、国土空间规划，纳入当地国民经济和社会发展年度计划，并符合国家产业政策和供地政策。</w:t>
      </w:r>
    </w:p>
    <w:p>
      <w:pPr>
        <w:rPr>
          <w:rFonts w:ascii="Times New Roman" w:hAnsi="Times New Roman" w:eastAsia="宋体" w:cs="Times New Roman"/>
        </w:rPr>
      </w:pPr>
      <w:r>
        <w:rPr>
          <w:rFonts w:ascii="Times New Roman" w:hAnsi="Times New Roman" w:eastAsia="宋体" w:cs="Times New Roman"/>
        </w:rPr>
        <w:t>土地征收成片开发要以人民为中心，为公共利益的需要，提高成片开发范围内基础设施</w:t>
      </w:r>
      <w:r>
        <w:rPr>
          <w:rFonts w:hint="eastAsia" w:ascii="Times New Roman" w:hAnsi="Times New Roman" w:eastAsia="宋体" w:cs="Times New Roman"/>
        </w:rPr>
        <w:t>、</w:t>
      </w:r>
      <w:r>
        <w:rPr>
          <w:rFonts w:ascii="Times New Roman" w:hAnsi="Times New Roman" w:eastAsia="宋体" w:cs="Times New Roman"/>
        </w:rPr>
        <w:t>公共服务设施以及其他公益性用地的比例，兼顾群众的现实和长远利益，维护群众合法权益，充分征求成片开发区域内农村集体经济组织和农民意见。</w:t>
      </w:r>
    </w:p>
    <w:p>
      <w:pPr>
        <w:rPr>
          <w:rFonts w:ascii="Times New Roman" w:hAnsi="Times New Roman" w:eastAsia="宋体" w:cs="Times New Roman"/>
        </w:rPr>
      </w:pPr>
      <w:r>
        <w:rPr>
          <w:rFonts w:ascii="Times New Roman" w:hAnsi="Times New Roman" w:eastAsia="宋体" w:cs="Times New Roman"/>
        </w:rPr>
        <w:t>1.2.2科学合理编制、确保开发必要性原则</w:t>
      </w:r>
    </w:p>
    <w:p>
      <w:pPr>
        <w:rPr>
          <w:rFonts w:ascii="Times New Roman" w:hAnsi="Times New Roman" w:eastAsia="宋体" w:cs="Times New Roman"/>
        </w:rPr>
      </w:pPr>
      <w:r>
        <w:rPr>
          <w:rFonts w:ascii="Times New Roman" w:hAnsi="Times New Roman" w:eastAsia="宋体" w:cs="Times New Roman"/>
        </w:rPr>
        <w:t>土地征收成片开发应当坚持新发展理念，立足城市（镇）的长远发展，根据土地经济规律、社会经济发展和市场需求，确保开发的必要性。通过深度分析和科学论证，确定成片开发的范围和规模；因地制宜，有针对性的开展编制工作，着重解决实际问题。</w:t>
      </w:r>
    </w:p>
    <w:p>
      <w:pPr>
        <w:rPr>
          <w:rFonts w:ascii="Times New Roman" w:hAnsi="Times New Roman" w:eastAsia="宋体" w:cs="Times New Roman"/>
        </w:rPr>
      </w:pPr>
      <w:r>
        <w:rPr>
          <w:rFonts w:ascii="Times New Roman" w:hAnsi="Times New Roman" w:eastAsia="宋体" w:cs="Times New Roman"/>
        </w:rPr>
        <w:t>1.2.3严格保护耕地、节约集约用地原则</w:t>
      </w:r>
    </w:p>
    <w:p>
      <w:pPr>
        <w:rPr>
          <w:rFonts w:ascii="Times New Roman" w:hAnsi="Times New Roman" w:eastAsia="宋体" w:cs="Times New Roman"/>
        </w:rPr>
      </w:pPr>
      <w:r>
        <w:rPr>
          <w:rFonts w:ascii="Times New Roman" w:hAnsi="Times New Roman" w:eastAsia="宋体" w:cs="Times New Roman"/>
        </w:rPr>
        <w:t>土地征收成片开发应落实最严格的耕地保护制度，尽量避让优质耕地。要根据经济社会发展情况、实际用地需求、土地利用相关政策等确定成片开发范围，科学合理规划布局，优化资源配置，节约集约利用土地，提高土地利用效率。</w:t>
      </w:r>
    </w:p>
    <w:p>
      <w:pPr>
        <w:rPr>
          <w:rFonts w:ascii="Times New Roman" w:hAnsi="Times New Roman" w:eastAsia="宋体" w:cs="Times New Roman"/>
        </w:rPr>
      </w:pPr>
      <w:r>
        <w:rPr>
          <w:rFonts w:ascii="Times New Roman" w:hAnsi="Times New Roman" w:eastAsia="宋体" w:cs="Times New Roman"/>
        </w:rPr>
        <w:t>1.2.4生态优先、绿色发展</w:t>
      </w:r>
    </w:p>
    <w:p>
      <w:pPr>
        <w:rPr>
          <w:rFonts w:ascii="Times New Roman" w:hAnsi="Times New Roman" w:eastAsia="宋体" w:cs="Times New Roman"/>
        </w:rPr>
      </w:pPr>
      <w:r>
        <w:rPr>
          <w:rFonts w:ascii="Times New Roman" w:hAnsi="Times New Roman" w:eastAsia="宋体" w:cs="Times New Roman"/>
        </w:rPr>
        <w:t>坚持生态优先、绿色发展的原则，坚持最严格的耕地保护和永久基本农田保护制度，规定涉及生态保护红线、永久基本农田的拟建项目不得纳入成片开发范围。牢固树立绿水青山就是金山银山的战略思想，以保护和改善生态环境为重点，从源头统筹保障经济发展和资源保护之间的关系，实现生态效益和经济效益的有机统一。</w:t>
      </w:r>
    </w:p>
    <w:p>
      <w:pPr>
        <w:pStyle w:val="3"/>
        <w:numPr>
          <w:ilvl w:val="1"/>
          <w:numId w:val="1"/>
        </w:numPr>
        <w:ind w:firstLineChars="0"/>
        <w:rPr>
          <w:rFonts w:ascii="Times New Roman" w:hAnsi="Times New Roman" w:eastAsia="宋体" w:cs="Times New Roman"/>
        </w:rPr>
      </w:pPr>
      <w:bookmarkStart w:id="3" w:name="_Toc150354711"/>
      <w:r>
        <w:rPr>
          <w:rFonts w:ascii="Times New Roman" w:hAnsi="Times New Roman" w:eastAsia="宋体" w:cs="Times New Roman"/>
        </w:rPr>
        <w:t>编制目标</w:t>
      </w:r>
      <w:bookmarkEnd w:id="3"/>
    </w:p>
    <w:p>
      <w:pPr>
        <w:rPr>
          <w:rFonts w:ascii="Times New Roman" w:hAnsi="Times New Roman" w:eastAsia="宋体" w:cs="Times New Roman"/>
        </w:rPr>
      </w:pPr>
      <w:r>
        <w:rPr>
          <w:rFonts w:ascii="Times New Roman" w:hAnsi="Times New Roman" w:eastAsia="宋体" w:cs="Times New Roman"/>
        </w:rPr>
        <w:t xml:space="preserve">根据自然资源部、辽宁省自然资源厅关于土地综合开发利用的相关规定，结合区域实际情况，充分发挥土地资源优势，全面促进土地资源的开发利用；有效减少城乡建设占用耕地特别是优质耕地的规模，切实保护耕地特别是永久基本农田；增加土地有效供给，缓解用地供需矛盾，保障城镇化发展必要用地；统筹好建设开发、农用地保护和生态环境建设之间的关系，优化城乡建设用地结构和布局，促进地资源高效与节约集约利用，促进经济社会发展与土地资源利用相协调。也是在城镇化进程加快的新形势下，统筹保障发展和保护资源，拓展建设用地新空间的有效途径。 </w:t>
      </w:r>
    </w:p>
    <w:p>
      <w:pPr>
        <w:rPr>
          <w:rFonts w:ascii="Times New Roman" w:hAnsi="Times New Roman" w:eastAsia="宋体" w:cs="Times New Roman"/>
          <w:color w:val="FF0000"/>
        </w:rPr>
      </w:pPr>
      <w:r>
        <w:rPr>
          <w:rFonts w:ascii="Times New Roman" w:hAnsi="Times New Roman" w:eastAsia="宋体" w:cs="Times New Roman"/>
        </w:rPr>
        <w:t>为了实现东洲区经济社会跨域式发展，区人民政府决定对东洲区范围内1个片区规划实施建设，拟征收地块主要用途为工业用地和</w:t>
      </w:r>
      <w:r>
        <w:rPr>
          <w:rFonts w:hint="eastAsia" w:ascii="Times New Roman" w:hAnsi="Times New Roman" w:eastAsia="宋体" w:cs="Times New Roman"/>
        </w:rPr>
        <w:t>公用设施营业网点用地</w:t>
      </w:r>
      <w:r>
        <w:rPr>
          <w:rFonts w:ascii="Times New Roman" w:hAnsi="Times New Roman" w:eastAsia="宋体" w:cs="Times New Roman"/>
        </w:rPr>
        <w:t>。规划的落地实施，将加强夯实区域基础设施建设，提高东洲区整体工业实力，促进区域乡融合发展，加快产业结构优化调整和转型升级，同时对深入贯彻落实乡村振兴战略，补齐区域功能短板，改善人居环境，全面建成小康社会具有重要意义，其次本次规划实施建设采取成片开发建设模式，不仅有利于产业发展和资源配置进行合理的规划和布局，也是落实节约集约用地制度的重要举措。</w:t>
      </w:r>
    </w:p>
    <w:p>
      <w:pPr>
        <w:pStyle w:val="3"/>
        <w:numPr>
          <w:ilvl w:val="1"/>
          <w:numId w:val="1"/>
        </w:numPr>
        <w:ind w:firstLineChars="0"/>
        <w:rPr>
          <w:rFonts w:ascii="Times New Roman" w:hAnsi="Times New Roman" w:eastAsia="宋体" w:cs="Times New Roman"/>
        </w:rPr>
      </w:pPr>
      <w:bookmarkStart w:id="4" w:name="_Toc150354712"/>
      <w:r>
        <w:rPr>
          <w:rFonts w:ascii="Times New Roman" w:hAnsi="Times New Roman" w:eastAsia="宋体" w:cs="Times New Roman"/>
        </w:rPr>
        <w:t>编制依据</w:t>
      </w:r>
      <w:bookmarkEnd w:id="4"/>
    </w:p>
    <w:p>
      <w:pPr>
        <w:rPr>
          <w:rFonts w:ascii="Times New Roman" w:hAnsi="Times New Roman" w:eastAsia="宋体" w:cs="Times New Roman"/>
        </w:rPr>
      </w:pPr>
      <w:r>
        <w:rPr>
          <w:rFonts w:ascii="Times New Roman" w:hAnsi="Times New Roman" w:eastAsia="宋体" w:cs="Times New Roman"/>
        </w:rPr>
        <w:t>（1）《中华人民共和国土地管理法》（2019年修正）；</w:t>
      </w:r>
    </w:p>
    <w:p>
      <w:pPr>
        <w:rPr>
          <w:rFonts w:ascii="Times New Roman" w:hAnsi="Times New Roman" w:eastAsia="宋体" w:cs="Times New Roman"/>
        </w:rPr>
      </w:pPr>
      <w:r>
        <w:rPr>
          <w:rFonts w:ascii="Times New Roman" w:hAnsi="Times New Roman" w:eastAsia="宋体" w:cs="Times New Roman"/>
        </w:rPr>
        <w:t>（2）《中华人民共和国城乡规划法》（2019年修正）；</w:t>
      </w:r>
    </w:p>
    <w:p>
      <w:pPr>
        <w:rPr>
          <w:rFonts w:ascii="Times New Roman" w:hAnsi="Times New Roman" w:eastAsia="宋体" w:cs="Times New Roman"/>
        </w:rPr>
      </w:pPr>
      <w:r>
        <w:rPr>
          <w:rFonts w:ascii="Times New Roman" w:hAnsi="Times New Roman" w:eastAsia="宋体" w:cs="Times New Roman"/>
        </w:rPr>
        <w:t>（3）《中华人民共和国土地管理法实施条例》（2021 年修订）；</w:t>
      </w:r>
    </w:p>
    <w:p>
      <w:pPr>
        <w:rPr>
          <w:rFonts w:ascii="Times New Roman" w:hAnsi="Times New Roman" w:eastAsia="宋体" w:cs="Times New Roman"/>
        </w:rPr>
      </w:pPr>
      <w:r>
        <w:rPr>
          <w:rFonts w:ascii="Times New Roman" w:hAnsi="Times New Roman" w:eastAsia="宋体" w:cs="Times New Roman"/>
        </w:rPr>
        <w:t>（4）自然资源部关于印发《土地征收成片开发标准》的通知（自然资规[202</w:t>
      </w:r>
      <w:r>
        <w:rPr>
          <w:rFonts w:hint="eastAsia" w:ascii="Times New Roman" w:hAnsi="Times New Roman" w:eastAsia="宋体" w:cs="Times New Roman"/>
        </w:rPr>
        <w:t>3</w:t>
      </w:r>
      <w:r>
        <w:rPr>
          <w:rFonts w:ascii="Times New Roman" w:hAnsi="Times New Roman" w:eastAsia="宋体" w:cs="Times New Roman"/>
        </w:rPr>
        <w:t>]</w:t>
      </w:r>
      <w:r>
        <w:rPr>
          <w:rFonts w:hint="eastAsia" w:ascii="Times New Roman" w:hAnsi="Times New Roman" w:eastAsia="宋体" w:cs="Times New Roman"/>
        </w:rPr>
        <w:t>7</w:t>
      </w:r>
      <w:r>
        <w:rPr>
          <w:rFonts w:ascii="Times New Roman" w:hAnsi="Times New Roman" w:eastAsia="宋体" w:cs="Times New Roman"/>
        </w:rPr>
        <w:t>号）；</w:t>
      </w:r>
    </w:p>
    <w:p>
      <w:pPr>
        <w:rPr>
          <w:rFonts w:ascii="Times New Roman" w:hAnsi="Times New Roman" w:eastAsia="宋体" w:cs="Times New Roman"/>
        </w:rPr>
      </w:pPr>
      <w:r>
        <w:rPr>
          <w:rFonts w:ascii="Times New Roman" w:hAnsi="Times New Roman" w:eastAsia="宋体" w:cs="Times New Roman"/>
        </w:rPr>
        <w:t>（5）《辽宁省自然资源厅关于做好土地征收成片开发工作的通知》（辽自然资发[2021]68号）；</w:t>
      </w:r>
    </w:p>
    <w:p>
      <w:pPr>
        <w:rPr>
          <w:rFonts w:ascii="Times New Roman" w:hAnsi="Times New Roman" w:eastAsia="宋体" w:cs="Times New Roman"/>
        </w:rPr>
      </w:pPr>
      <w:r>
        <w:rPr>
          <w:rFonts w:ascii="Times New Roman" w:hAnsi="Times New Roman" w:eastAsia="宋体" w:cs="Times New Roman"/>
        </w:rPr>
        <w:t>（6）《中华人民共和国水土保持法》（2010年12月25日修订）；</w:t>
      </w:r>
    </w:p>
    <w:p>
      <w:pPr>
        <w:rPr>
          <w:rFonts w:ascii="Times New Roman" w:hAnsi="Times New Roman" w:eastAsia="宋体" w:cs="Times New Roman"/>
        </w:rPr>
      </w:pPr>
      <w:r>
        <w:rPr>
          <w:rFonts w:ascii="Times New Roman" w:hAnsi="Times New Roman" w:eastAsia="宋体" w:cs="Times New Roman"/>
        </w:rPr>
        <w:t>（7）《中华人民共和国森林法》（2019年12月28日修订）；</w:t>
      </w:r>
    </w:p>
    <w:p>
      <w:pPr>
        <w:rPr>
          <w:rFonts w:ascii="Times New Roman" w:hAnsi="Times New Roman" w:eastAsia="宋体" w:cs="Times New Roman"/>
        </w:rPr>
      </w:pPr>
      <w:r>
        <w:rPr>
          <w:rFonts w:ascii="Times New Roman" w:hAnsi="Times New Roman" w:eastAsia="宋体" w:cs="Times New Roman"/>
        </w:rPr>
        <w:t>（8）国土资源部关于全面实行永久基本农田特殊保护的通知》(国土资规[2018]1号 )；</w:t>
      </w:r>
    </w:p>
    <w:p>
      <w:pPr>
        <w:rPr>
          <w:rFonts w:ascii="Times New Roman" w:hAnsi="Times New Roman" w:eastAsia="宋体" w:cs="Times New Roman"/>
        </w:rPr>
      </w:pPr>
      <w:r>
        <w:rPr>
          <w:rFonts w:ascii="Times New Roman" w:hAnsi="Times New Roman" w:eastAsia="宋体" w:cs="Times New Roman"/>
        </w:rPr>
        <w:t>（9）《自然资源部 农业农村部关于加强和改进永久基本农田保护工作的通知》(自然资规[2019]1号)；</w:t>
      </w:r>
    </w:p>
    <w:p>
      <w:pPr>
        <w:rPr>
          <w:rFonts w:ascii="Times New Roman" w:hAnsi="Times New Roman" w:eastAsia="宋体" w:cs="Times New Roman"/>
        </w:rPr>
      </w:pPr>
      <w:r>
        <w:rPr>
          <w:rFonts w:ascii="Times New Roman" w:hAnsi="Times New Roman" w:eastAsia="宋体" w:cs="Times New Roman"/>
        </w:rPr>
        <w:t>（10）《</w:t>
      </w:r>
      <w:r>
        <w:rPr>
          <w:rFonts w:hint="eastAsia" w:ascii="Times New Roman" w:hAnsi="Times New Roman" w:eastAsia="宋体" w:cs="Times New Roman"/>
        </w:rPr>
        <w:t>绿色食品产业“十四五”发展规划纲要（2021-2035年</w:t>
      </w:r>
      <w:r>
        <w:rPr>
          <w:rFonts w:ascii="Times New Roman" w:hAnsi="Times New Roman" w:eastAsia="宋体" w:cs="Times New Roman"/>
        </w:rPr>
        <w:t>》</w:t>
      </w:r>
      <w:r>
        <w:rPr>
          <w:rFonts w:hint="eastAsia" w:ascii="Times New Roman" w:hAnsi="Times New Roman" w:eastAsia="宋体" w:cs="Times New Roman"/>
        </w:rPr>
        <w:t>；</w:t>
      </w:r>
    </w:p>
    <w:p>
      <w:pPr>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11</w:t>
      </w:r>
      <w:r>
        <w:rPr>
          <w:rFonts w:ascii="Times New Roman" w:hAnsi="Times New Roman" w:eastAsia="宋体" w:cs="Times New Roman"/>
        </w:rPr>
        <w:t>）</w:t>
      </w:r>
      <w:r>
        <w:rPr>
          <w:rFonts w:hint="eastAsia" w:ascii="Times New Roman" w:hAnsi="Times New Roman" w:eastAsia="宋体" w:cs="Times New Roman"/>
        </w:rPr>
        <w:t>《抚顺市国土空间总体规划（2021—2035 年）》初步成果；</w:t>
      </w:r>
    </w:p>
    <w:p>
      <w:pPr>
        <w:rPr>
          <w:rFonts w:ascii="Times New Roman" w:hAnsi="Times New Roman" w:eastAsia="宋体" w:cs="Times New Roman"/>
        </w:rPr>
      </w:pPr>
      <w:r>
        <w:rPr>
          <w:rFonts w:hint="eastAsia" w:ascii="Times New Roman" w:hAnsi="Times New Roman" w:eastAsia="宋体" w:cs="Times New Roman"/>
        </w:rPr>
        <w:t>（12）《产业结构调整指导目录（2019年本）（2021年修订）》；</w:t>
      </w:r>
    </w:p>
    <w:p>
      <w:pPr>
        <w:rPr>
          <w:rFonts w:ascii="Times New Roman" w:hAnsi="Times New Roman" w:eastAsia="宋体" w:cs="Times New Roman"/>
        </w:rPr>
      </w:pPr>
      <w:r>
        <w:rPr>
          <w:rFonts w:hint="eastAsia" w:ascii="Times New Roman" w:hAnsi="Times New Roman" w:eastAsia="宋体" w:cs="Times New Roman"/>
        </w:rPr>
        <w:t>（13）</w:t>
      </w:r>
      <w:r>
        <w:rPr>
          <w:rFonts w:ascii="Times New Roman" w:hAnsi="Times New Roman" w:eastAsia="宋体" w:cs="Times New Roman"/>
        </w:rPr>
        <w:t>《抚顺市东洲区国民经济和社会发展第十四个五年规划纲要和2035年远景目标》</w:t>
      </w:r>
      <w:r>
        <w:rPr>
          <w:rFonts w:hint="eastAsia" w:ascii="Times New Roman" w:hAnsi="Times New Roman" w:eastAsia="宋体" w:cs="Times New Roman"/>
        </w:rPr>
        <w:t>。</w:t>
      </w:r>
    </w:p>
    <w:p>
      <w:pPr>
        <w:pStyle w:val="3"/>
        <w:numPr>
          <w:ilvl w:val="1"/>
          <w:numId w:val="1"/>
        </w:numPr>
        <w:ind w:firstLineChars="0"/>
        <w:rPr>
          <w:rFonts w:ascii="Times New Roman" w:hAnsi="Times New Roman" w:eastAsia="宋体" w:cs="Times New Roman"/>
        </w:rPr>
      </w:pPr>
      <w:bookmarkStart w:id="5" w:name="_Toc150354713"/>
      <w:r>
        <w:rPr>
          <w:rFonts w:ascii="Times New Roman" w:hAnsi="Times New Roman" w:eastAsia="宋体" w:cs="Times New Roman"/>
        </w:rPr>
        <w:t>实施时限</w:t>
      </w:r>
      <w:bookmarkEnd w:id="5"/>
    </w:p>
    <w:p>
      <w:pPr>
        <w:rPr>
          <w:rFonts w:ascii="Times New Roman" w:hAnsi="Times New Roman" w:eastAsia="宋体" w:cs="Times New Roman"/>
        </w:rPr>
        <w:sectPr>
          <w:footerReference r:id="rId13" w:type="default"/>
          <w:pgSz w:w="11906" w:h="16838"/>
          <w:pgMar w:top="1440" w:right="1800" w:bottom="1440" w:left="1800" w:header="851" w:footer="992" w:gutter="0"/>
          <w:pgNumType w:start="1"/>
          <w:cols w:space="425" w:num="1"/>
          <w:docGrid w:type="lines" w:linePitch="312" w:charSpace="0"/>
        </w:sectPr>
      </w:pPr>
      <w:r>
        <w:rPr>
          <w:rFonts w:ascii="Times New Roman" w:hAnsi="Times New Roman" w:eastAsia="宋体" w:cs="Times New Roman"/>
        </w:rPr>
        <w:t>东洲区计划在2023</w:t>
      </w:r>
      <w:r>
        <w:rPr>
          <w:rFonts w:hint="eastAsia" w:ascii="Times New Roman" w:hAnsi="Times New Roman" w:eastAsia="宋体" w:cs="Times New Roman"/>
        </w:rPr>
        <w:t>—202</w:t>
      </w:r>
      <w:r>
        <w:rPr>
          <w:rFonts w:ascii="Times New Roman" w:hAnsi="Times New Roman" w:eastAsia="宋体" w:cs="Times New Roman"/>
        </w:rPr>
        <w:t>4年对</w:t>
      </w:r>
      <w:r>
        <w:rPr>
          <w:rFonts w:hint="eastAsia" w:ascii="Times New Roman" w:hAnsi="Times New Roman" w:eastAsia="宋体" w:cs="Times New Roman"/>
        </w:rPr>
        <w:t>2</w:t>
      </w:r>
      <w:r>
        <w:rPr>
          <w:rFonts w:ascii="Times New Roman" w:hAnsi="Times New Roman" w:eastAsia="宋体" w:cs="Times New Roman"/>
        </w:rPr>
        <w:t>个规划建设项目进行征地和</w:t>
      </w:r>
      <w:r>
        <w:rPr>
          <w:rFonts w:hint="eastAsia" w:ascii="Times New Roman" w:hAnsi="Times New Roman" w:eastAsia="宋体" w:cs="Times New Roman"/>
        </w:rPr>
        <w:t>公共服务</w:t>
      </w:r>
      <w:r>
        <w:rPr>
          <w:rFonts w:ascii="Times New Roman" w:hAnsi="Times New Roman" w:eastAsia="宋体" w:cs="Times New Roman"/>
        </w:rPr>
        <w:t>设施建设，土地供应面积1.2976公顷。</w:t>
      </w:r>
      <w:r>
        <w:rPr>
          <w:rFonts w:ascii="Times New Roman" w:hAnsi="Times New Roman" w:eastAsia="宋体" w:cs="Times New Roman"/>
        </w:rPr>
        <w:tab/>
      </w:r>
    </w:p>
    <w:p>
      <w:pPr>
        <w:pStyle w:val="2"/>
        <w:rPr>
          <w:rFonts w:ascii="Times New Roman" w:hAnsi="Times New Roman" w:eastAsia="宋体" w:cs="Times New Roman"/>
        </w:rPr>
      </w:pPr>
      <w:bookmarkStart w:id="6" w:name="_Toc150354714"/>
      <w:r>
        <w:rPr>
          <w:rFonts w:ascii="Times New Roman" w:hAnsi="Times New Roman" w:eastAsia="宋体" w:cs="Times New Roman"/>
        </w:rPr>
        <w:t>基本情况</w:t>
      </w:r>
      <w:bookmarkEnd w:id="6"/>
    </w:p>
    <w:p>
      <w:pPr>
        <w:pStyle w:val="3"/>
        <w:numPr>
          <w:ilvl w:val="1"/>
          <w:numId w:val="1"/>
        </w:numPr>
        <w:ind w:firstLineChars="0"/>
        <w:rPr>
          <w:rFonts w:ascii="Times New Roman" w:hAnsi="Times New Roman" w:eastAsia="宋体" w:cs="Times New Roman"/>
        </w:rPr>
      </w:pPr>
      <w:bookmarkStart w:id="7" w:name="_Toc150354715"/>
      <w:r>
        <w:rPr>
          <w:rFonts w:ascii="Times New Roman" w:hAnsi="Times New Roman" w:eastAsia="宋体" w:cs="Times New Roman"/>
        </w:rPr>
        <w:t>成片开发总体情况</w:t>
      </w:r>
      <w:bookmarkEnd w:id="7"/>
    </w:p>
    <w:p>
      <w:pPr>
        <w:rPr>
          <w:rFonts w:ascii="Times New Roman" w:hAnsi="Times New Roman" w:eastAsia="宋体" w:cs="Times New Roman"/>
        </w:rPr>
      </w:pPr>
      <w:r>
        <w:rPr>
          <w:rFonts w:ascii="Times New Roman" w:hAnsi="Times New Roman" w:eastAsia="宋体" w:cs="Times New Roman"/>
        </w:rPr>
        <w:t>抚顺市东洲区2023年土地征收成片开发方案（第</w:t>
      </w:r>
      <w:r>
        <w:rPr>
          <w:rFonts w:hint="eastAsia" w:ascii="Times New Roman" w:hAnsi="Times New Roman" w:eastAsia="宋体" w:cs="Times New Roman"/>
        </w:rPr>
        <w:t>3</w:t>
      </w:r>
      <w:r>
        <w:rPr>
          <w:rFonts w:ascii="Times New Roman" w:hAnsi="Times New Roman" w:eastAsia="宋体" w:cs="Times New Roman"/>
        </w:rPr>
        <w:t>批）主要为保障东洲区各乡、镇（街道）近期急需建设的项目用地。</w:t>
      </w:r>
    </w:p>
    <w:p>
      <w:pPr>
        <w:rPr>
          <w:rFonts w:ascii="Times New Roman" w:hAnsi="Times New Roman" w:eastAsia="宋体" w:cs="Times New Roman"/>
        </w:rPr>
      </w:pPr>
      <w:r>
        <w:rPr>
          <w:rFonts w:ascii="Times New Roman" w:hAnsi="Times New Roman" w:eastAsia="宋体" w:cs="Times New Roman"/>
        </w:rPr>
        <w:t>本次方案涉及1个成片开发区域（以下简称“片区”），片区涉及</w:t>
      </w:r>
      <w:r>
        <w:rPr>
          <w:rFonts w:hint="eastAsia" w:ascii="Times New Roman" w:hAnsi="Times New Roman" w:eastAsia="宋体" w:cs="Times New Roman"/>
        </w:rPr>
        <w:t>2</w:t>
      </w:r>
      <w:r>
        <w:rPr>
          <w:rFonts w:ascii="Times New Roman" w:hAnsi="Times New Roman" w:eastAsia="宋体" w:cs="Times New Roman"/>
        </w:rPr>
        <w:t>个拟开发地块，位于碾盘乡</w:t>
      </w:r>
      <w:r>
        <w:rPr>
          <w:rFonts w:hint="eastAsia" w:ascii="Times New Roman" w:hAnsi="Times New Roman" w:eastAsia="宋体" w:cs="Times New Roman"/>
        </w:rPr>
        <w:t>和章党街道</w:t>
      </w:r>
      <w:r>
        <w:rPr>
          <w:rFonts w:ascii="Times New Roman" w:hAnsi="Times New Roman" w:eastAsia="宋体" w:cs="Times New Roman"/>
        </w:rPr>
        <w:t>。片区总面积为8.1578公顷，拟开发地块面积为1.2976公顷。根据抚顺市国土空间规划初步成果，本次成片开发方案用地规模和布局已经纳入城镇开发边界内，不涉及永久基本农田和生态保护红线，符合国土空间规划初步成果。</w:t>
      </w:r>
    </w:p>
    <w:p>
      <w:pPr>
        <w:jc w:val="center"/>
        <w:rPr>
          <w:rFonts w:ascii="Times New Roman" w:hAnsi="Times New Roman" w:eastAsia="宋体" w:cs="Times New Roman"/>
        </w:rPr>
      </w:pPr>
      <w:r>
        <w:drawing>
          <wp:inline distT="0" distB="0" distL="0" distR="0">
            <wp:extent cx="5274310" cy="3637915"/>
            <wp:effectExtent l="0" t="0" r="2540" b="635"/>
            <wp:docPr id="1"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true"/>
                    </pic:cNvPicPr>
                  </pic:nvPicPr>
                  <pic:blipFill>
                    <a:blip r:embed="rId16"/>
                    <a:stretch>
                      <a:fillRect/>
                    </a:stretch>
                  </pic:blipFill>
                  <pic:spPr>
                    <a:xfrm>
                      <a:off x="0" y="0"/>
                      <a:ext cx="5274310" cy="3637915"/>
                    </a:xfrm>
                    <a:prstGeom prst="rect">
                      <a:avLst/>
                    </a:prstGeom>
                  </pic:spPr>
                </pic:pic>
              </a:graphicData>
            </a:graphic>
          </wp:inline>
        </w:drawing>
      </w:r>
    </w:p>
    <w:p>
      <w:pPr>
        <w:ind w:firstLine="480"/>
        <w:jc w:val="center"/>
        <w:rPr>
          <w:rFonts w:ascii="Times New Roman" w:hAnsi="Times New Roman" w:eastAsia="宋体" w:cs="Times New Roman"/>
          <w:sz w:val="24"/>
        </w:rPr>
      </w:pPr>
      <w:r>
        <w:rPr>
          <w:rFonts w:ascii="Times New Roman" w:hAnsi="Times New Roman" w:eastAsia="宋体" w:cs="Times New Roman"/>
          <w:sz w:val="24"/>
        </w:rPr>
        <w:t>图2-1 片区和拟征收地块在东洲区地理位置图</w:t>
      </w:r>
    </w:p>
    <w:p>
      <w:pPr>
        <w:rPr>
          <w:rFonts w:ascii="Times New Roman" w:hAnsi="Times New Roman" w:eastAsia="宋体" w:cs="Times New Roman"/>
        </w:rPr>
      </w:pPr>
      <w:r>
        <w:rPr>
          <w:rFonts w:ascii="Times New Roman" w:hAnsi="Times New Roman" w:eastAsia="宋体" w:cs="Times New Roman"/>
        </w:rPr>
        <w:t>东洲片区共有</w:t>
      </w:r>
      <w:r>
        <w:rPr>
          <w:rFonts w:hint="eastAsia" w:ascii="Times New Roman" w:hAnsi="Times New Roman" w:eastAsia="宋体" w:cs="Times New Roman"/>
        </w:rPr>
        <w:t>2</w:t>
      </w:r>
      <w:r>
        <w:rPr>
          <w:rFonts w:ascii="Times New Roman" w:hAnsi="Times New Roman" w:eastAsia="宋体" w:cs="Times New Roman"/>
        </w:rPr>
        <w:t>个项目，包括</w:t>
      </w:r>
      <w:r>
        <w:rPr>
          <w:rFonts w:hint="eastAsia" w:ascii="Times New Roman" w:hAnsi="Times New Roman" w:eastAsia="宋体" w:cs="Times New Roman"/>
        </w:rPr>
        <w:t>辽宁天湖啤酒有限公司30万千升/年啤酒配套项目和抚顺市鹏格石油制品销售有限公司加油站建设项目</w:t>
      </w:r>
      <w:r>
        <w:rPr>
          <w:rFonts w:ascii="Times New Roman" w:hAnsi="Times New Roman" w:eastAsia="宋体" w:cs="Times New Roman"/>
        </w:rPr>
        <w:t>。片区</w:t>
      </w:r>
      <w:r>
        <w:rPr>
          <w:rFonts w:hint="eastAsia" w:ascii="Times New Roman" w:hAnsi="Times New Roman" w:eastAsia="宋体" w:cs="Times New Roman"/>
        </w:rPr>
        <w:t>立足区域经济和发展需求，顺应消费升级，依托酿造技术扩大啤酒产业生产能力，同时完善成品油零售体系，促进交通运输行业发展。方案的实施将推进啤酒小镇的打造，促进</w:t>
      </w:r>
      <w:r>
        <w:rPr>
          <w:rFonts w:ascii="Times New Roman" w:hAnsi="Times New Roman" w:eastAsia="宋体" w:cs="Times New Roman"/>
        </w:rPr>
        <w:t>配套基础实施的建设，</w:t>
      </w:r>
      <w:r>
        <w:rPr>
          <w:rFonts w:hint="eastAsia" w:ascii="Times New Roman" w:hAnsi="Times New Roman" w:eastAsia="宋体" w:cs="Times New Roman"/>
        </w:rPr>
        <w:t>进而</w:t>
      </w:r>
      <w:r>
        <w:rPr>
          <w:rFonts w:ascii="Times New Roman" w:hAnsi="Times New Roman" w:eastAsia="宋体" w:cs="Times New Roman"/>
        </w:rPr>
        <w:t>促进现代化工业体系的构建。</w:t>
      </w:r>
    </w:p>
    <w:p>
      <w:pPr>
        <w:ind w:firstLine="420"/>
        <w:jc w:val="center"/>
        <w:rPr>
          <w:rFonts w:ascii="Times New Roman" w:hAnsi="Times New Roman" w:eastAsia="宋体" w:cs="Times New Roman"/>
          <w:sz w:val="21"/>
          <w:szCs w:val="21"/>
        </w:rPr>
      </w:pPr>
      <w:r>
        <w:rPr>
          <w:rFonts w:ascii="Times New Roman" w:hAnsi="Times New Roman" w:eastAsia="宋体" w:cs="Times New Roman"/>
          <w:sz w:val="21"/>
          <w:szCs w:val="21"/>
        </w:rPr>
        <w:t>表2-1 成片开发情况表</w:t>
      </w:r>
    </w:p>
    <w:p>
      <w:pPr>
        <w:ind w:firstLine="420"/>
        <w:jc w:val="right"/>
        <w:rPr>
          <w:rFonts w:ascii="Times New Roman" w:hAnsi="Times New Roman" w:eastAsia="宋体" w:cs="Times New Roman"/>
          <w:sz w:val="21"/>
          <w:szCs w:val="21"/>
        </w:rPr>
      </w:pPr>
      <w:r>
        <w:rPr>
          <w:rFonts w:ascii="Times New Roman" w:hAnsi="Times New Roman" w:eastAsia="宋体" w:cs="Times New Roman"/>
          <w:sz w:val="21"/>
          <w:szCs w:val="21"/>
        </w:rPr>
        <w:t>单位：公顷</w:t>
      </w:r>
    </w:p>
    <w:tbl>
      <w:tblPr>
        <w:tblStyle w:val="13"/>
        <w:tblW w:w="5000" w:type="pct"/>
        <w:tblInd w:w="0" w:type="dxa"/>
        <w:tblLayout w:type="autofit"/>
        <w:tblCellMar>
          <w:top w:w="0" w:type="dxa"/>
          <w:left w:w="108" w:type="dxa"/>
          <w:bottom w:w="0" w:type="dxa"/>
          <w:right w:w="108" w:type="dxa"/>
        </w:tblCellMar>
      </w:tblPr>
      <w:tblGrid>
        <w:gridCol w:w="1086"/>
        <w:gridCol w:w="816"/>
        <w:gridCol w:w="1295"/>
        <w:gridCol w:w="4508"/>
        <w:gridCol w:w="817"/>
      </w:tblGrid>
      <w:tr>
        <w:tblPrEx>
          <w:tblCellMar>
            <w:top w:w="0" w:type="dxa"/>
            <w:left w:w="108" w:type="dxa"/>
            <w:bottom w:w="0" w:type="dxa"/>
            <w:right w:w="108" w:type="dxa"/>
          </w:tblCellMar>
        </w:tblPrEx>
        <w:trPr>
          <w:trHeight w:val="300" w:hRule="atLeast"/>
        </w:trPr>
        <w:tc>
          <w:tcPr>
            <w:tcW w:w="1116" w:type="pct"/>
            <w:gridSpan w:val="2"/>
            <w:tcBorders>
              <w:top w:val="single" w:color="auto" w:sz="8" w:space="0"/>
              <w:left w:val="single" w:color="auto" w:sz="8" w:space="0"/>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片区情况</w:t>
            </w:r>
          </w:p>
        </w:tc>
        <w:tc>
          <w:tcPr>
            <w:tcW w:w="3884" w:type="pct"/>
            <w:gridSpan w:val="3"/>
            <w:tcBorders>
              <w:top w:val="single" w:color="auto" w:sz="8" w:space="0"/>
              <w:left w:val="nil"/>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地块情况</w:t>
            </w:r>
          </w:p>
        </w:tc>
      </w:tr>
      <w:tr>
        <w:tblPrEx>
          <w:tblCellMar>
            <w:top w:w="0" w:type="dxa"/>
            <w:left w:w="108" w:type="dxa"/>
            <w:bottom w:w="0" w:type="dxa"/>
            <w:right w:w="108" w:type="dxa"/>
          </w:tblCellMar>
        </w:tblPrEx>
        <w:trPr>
          <w:trHeight w:val="300" w:hRule="atLeast"/>
        </w:trPr>
        <w:tc>
          <w:tcPr>
            <w:tcW w:w="637"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片区名称</w:t>
            </w:r>
          </w:p>
        </w:tc>
        <w:tc>
          <w:tcPr>
            <w:tcW w:w="47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面积</w:t>
            </w:r>
          </w:p>
        </w:tc>
        <w:tc>
          <w:tcPr>
            <w:tcW w:w="760"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地块编号</w:t>
            </w:r>
          </w:p>
        </w:tc>
        <w:tc>
          <w:tcPr>
            <w:tcW w:w="2645"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涉及项目名称</w:t>
            </w:r>
          </w:p>
        </w:tc>
        <w:tc>
          <w:tcPr>
            <w:tcW w:w="47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面积</w:t>
            </w:r>
          </w:p>
        </w:tc>
      </w:tr>
      <w:tr>
        <w:tblPrEx>
          <w:tblCellMar>
            <w:top w:w="0" w:type="dxa"/>
            <w:left w:w="108" w:type="dxa"/>
            <w:bottom w:w="0" w:type="dxa"/>
            <w:right w:w="108" w:type="dxa"/>
          </w:tblCellMar>
        </w:tblPrEx>
        <w:trPr>
          <w:trHeight w:val="300" w:hRule="atLeast"/>
        </w:trPr>
        <w:tc>
          <w:tcPr>
            <w:tcW w:w="637" w:type="pct"/>
            <w:vMerge w:val="restart"/>
            <w:tcBorders>
              <w:top w:val="nil"/>
              <w:left w:val="single" w:color="auto" w:sz="8" w:space="0"/>
              <w:bottom w:val="single" w:color="000000"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东洲片区</w:t>
            </w:r>
          </w:p>
        </w:tc>
        <w:tc>
          <w:tcPr>
            <w:tcW w:w="479" w:type="pct"/>
            <w:vMerge w:val="restart"/>
            <w:tcBorders>
              <w:top w:val="nil"/>
              <w:left w:val="single" w:color="auto" w:sz="8" w:space="0"/>
              <w:bottom w:val="single" w:color="000000"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8.1578</w:t>
            </w:r>
          </w:p>
        </w:tc>
        <w:tc>
          <w:tcPr>
            <w:tcW w:w="760"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DK-1</w:t>
            </w:r>
          </w:p>
        </w:tc>
        <w:tc>
          <w:tcPr>
            <w:tcW w:w="2645"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辽宁天湖啤酒有限公司30万千升/年啤酒配套项目</w:t>
            </w:r>
          </w:p>
        </w:tc>
        <w:tc>
          <w:tcPr>
            <w:tcW w:w="47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0.4054</w:t>
            </w:r>
          </w:p>
        </w:tc>
      </w:tr>
      <w:tr>
        <w:tblPrEx>
          <w:tblCellMar>
            <w:top w:w="0" w:type="dxa"/>
            <w:left w:w="108" w:type="dxa"/>
            <w:bottom w:w="0" w:type="dxa"/>
            <w:right w:w="108" w:type="dxa"/>
          </w:tblCellMar>
        </w:tblPrEx>
        <w:trPr>
          <w:trHeight w:val="300" w:hRule="atLeast"/>
        </w:trPr>
        <w:tc>
          <w:tcPr>
            <w:tcW w:w="637" w:type="pct"/>
            <w:vMerge w:val="continue"/>
            <w:tcBorders>
              <w:top w:val="nil"/>
              <w:left w:val="single" w:color="auto" w:sz="8" w:space="0"/>
              <w:bottom w:val="single" w:color="000000" w:sz="8" w:space="0"/>
              <w:right w:val="single" w:color="auto" w:sz="8" w:space="0"/>
            </w:tcBorders>
            <w:vAlign w:val="center"/>
          </w:tcPr>
          <w:p>
            <w:pPr>
              <w:widowControl/>
              <w:spacing w:line="240" w:lineRule="auto"/>
              <w:ind w:firstLine="0" w:firstLineChars="0"/>
              <w:rPr>
                <w:rFonts w:ascii="宋体" w:hAnsi="宋体" w:eastAsia="宋体" w:cs="宋体"/>
                <w:color w:val="000000"/>
                <w:kern w:val="0"/>
                <w:sz w:val="21"/>
                <w:szCs w:val="21"/>
              </w:rPr>
            </w:pPr>
          </w:p>
        </w:tc>
        <w:tc>
          <w:tcPr>
            <w:tcW w:w="479" w:type="pct"/>
            <w:vMerge w:val="continue"/>
            <w:tcBorders>
              <w:top w:val="nil"/>
              <w:left w:val="single" w:color="auto" w:sz="8" w:space="0"/>
              <w:bottom w:val="single" w:color="000000" w:sz="8" w:space="0"/>
              <w:right w:val="single" w:color="auto" w:sz="8" w:space="0"/>
            </w:tcBorders>
            <w:vAlign w:val="center"/>
          </w:tcPr>
          <w:p>
            <w:pPr>
              <w:widowControl/>
              <w:spacing w:line="240" w:lineRule="auto"/>
              <w:ind w:firstLine="0" w:firstLineChars="0"/>
              <w:rPr>
                <w:rFonts w:ascii="Times New Roman" w:hAnsi="Times New Roman" w:eastAsia="等线" w:cs="Times New Roman"/>
                <w:color w:val="000000"/>
                <w:kern w:val="0"/>
                <w:sz w:val="21"/>
                <w:szCs w:val="21"/>
              </w:rPr>
            </w:pPr>
          </w:p>
        </w:tc>
        <w:tc>
          <w:tcPr>
            <w:tcW w:w="760"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DK-2</w:t>
            </w:r>
          </w:p>
        </w:tc>
        <w:tc>
          <w:tcPr>
            <w:tcW w:w="2645"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抚顺市鹏格石油制品销售有限公司加油站建设项目</w:t>
            </w:r>
          </w:p>
        </w:tc>
        <w:tc>
          <w:tcPr>
            <w:tcW w:w="47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0.8922</w:t>
            </w:r>
          </w:p>
        </w:tc>
      </w:tr>
      <w:tr>
        <w:tblPrEx>
          <w:tblCellMar>
            <w:top w:w="0" w:type="dxa"/>
            <w:left w:w="108" w:type="dxa"/>
            <w:bottom w:w="0" w:type="dxa"/>
            <w:right w:w="108" w:type="dxa"/>
          </w:tblCellMar>
        </w:tblPrEx>
        <w:trPr>
          <w:trHeight w:val="300" w:hRule="atLeast"/>
        </w:trPr>
        <w:tc>
          <w:tcPr>
            <w:tcW w:w="637"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合计</w:t>
            </w:r>
          </w:p>
        </w:tc>
        <w:tc>
          <w:tcPr>
            <w:tcW w:w="47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8.1578</w:t>
            </w:r>
          </w:p>
        </w:tc>
        <w:tc>
          <w:tcPr>
            <w:tcW w:w="760"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w:t>
            </w:r>
          </w:p>
        </w:tc>
        <w:tc>
          <w:tcPr>
            <w:tcW w:w="2645"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　</w:t>
            </w:r>
          </w:p>
        </w:tc>
        <w:tc>
          <w:tcPr>
            <w:tcW w:w="47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1.2976</w:t>
            </w:r>
          </w:p>
        </w:tc>
      </w:tr>
    </w:tbl>
    <w:p>
      <w:pPr>
        <w:ind w:firstLine="420"/>
        <w:jc w:val="center"/>
        <w:rPr>
          <w:rFonts w:ascii="Times New Roman" w:hAnsi="Times New Roman" w:eastAsia="宋体" w:cs="Times New Roman"/>
          <w:sz w:val="21"/>
          <w:szCs w:val="21"/>
        </w:rPr>
      </w:pPr>
    </w:p>
    <w:p>
      <w:pPr>
        <w:jc w:val="center"/>
        <w:rPr>
          <w:rFonts w:ascii="Times New Roman" w:hAnsi="Times New Roman" w:eastAsia="宋体" w:cs="Times New Roman"/>
          <w:sz w:val="21"/>
          <w:szCs w:val="21"/>
        </w:rPr>
      </w:pPr>
      <w:r>
        <w:drawing>
          <wp:inline distT="0" distB="0" distL="0" distR="0">
            <wp:extent cx="4493895" cy="3740150"/>
            <wp:effectExtent l="0" t="0" r="1905" b="0"/>
            <wp:docPr id="23" name="图片 2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true" noChangeArrowheads="true"/>
                    </pic:cNvPicPr>
                  </pic:nvPicPr>
                  <pic:blipFill>
                    <a:blip r:embed="rId17" cstate="print">
                      <a:extLst>
                        <a:ext uri="{28A0092B-C50C-407E-A947-70E740481C1C}">
                          <a14:useLocalDpi xmlns:a14="http://schemas.microsoft.com/office/drawing/2010/main" val="false"/>
                        </a:ext>
                      </a:extLst>
                    </a:blip>
                    <a:srcRect l="23026" t="7028" r="2921" b="5733"/>
                    <a:stretch>
                      <a:fillRect/>
                    </a:stretch>
                  </pic:blipFill>
                  <pic:spPr>
                    <a:xfrm>
                      <a:off x="0" y="0"/>
                      <a:ext cx="4498379" cy="3744415"/>
                    </a:xfrm>
                    <a:prstGeom prst="rect">
                      <a:avLst/>
                    </a:prstGeom>
                    <a:noFill/>
                    <a:ln>
                      <a:noFill/>
                    </a:ln>
                  </pic:spPr>
                </pic:pic>
              </a:graphicData>
            </a:graphic>
          </wp:inline>
        </w:drawing>
      </w:r>
    </w:p>
    <w:p>
      <w:pPr>
        <w:ind w:firstLine="480"/>
        <w:jc w:val="center"/>
        <w:rPr>
          <w:rFonts w:ascii="Times New Roman" w:hAnsi="Times New Roman" w:eastAsia="宋体" w:cs="Times New Roman"/>
        </w:rPr>
      </w:pPr>
      <w:r>
        <w:rPr>
          <w:rFonts w:ascii="Times New Roman" w:hAnsi="Times New Roman" w:eastAsia="宋体" w:cs="Times New Roman"/>
          <w:sz w:val="24"/>
        </w:rPr>
        <w:t>图2-1东洲片区拟开发地块在东洲区地理位置图</w:t>
      </w:r>
    </w:p>
    <w:p>
      <w:pPr>
        <w:ind w:firstLine="420"/>
        <w:jc w:val="center"/>
        <w:rPr>
          <w:rFonts w:ascii="Times New Roman" w:hAnsi="Times New Roman" w:eastAsia="宋体" w:cs="Times New Roman"/>
          <w:sz w:val="21"/>
          <w:szCs w:val="21"/>
        </w:rPr>
        <w:sectPr>
          <w:pgSz w:w="11906" w:h="16838"/>
          <w:pgMar w:top="1440" w:right="1800" w:bottom="1440" w:left="1800" w:header="851" w:footer="992" w:gutter="0"/>
          <w:cols w:space="425" w:num="1"/>
          <w:docGrid w:type="lines" w:linePitch="312" w:charSpace="0"/>
        </w:sectPr>
      </w:pPr>
    </w:p>
    <w:p>
      <w:pPr>
        <w:ind w:firstLine="420"/>
        <w:jc w:val="center"/>
        <w:rPr>
          <w:rFonts w:ascii="Times New Roman" w:hAnsi="Times New Roman" w:eastAsia="宋体" w:cs="Times New Roman"/>
          <w:sz w:val="21"/>
          <w:szCs w:val="21"/>
        </w:rPr>
      </w:pPr>
      <w:r>
        <w:rPr>
          <w:rFonts w:ascii="Times New Roman" w:hAnsi="Times New Roman" w:eastAsia="宋体" w:cs="Times New Roman"/>
          <w:sz w:val="21"/>
          <w:szCs w:val="21"/>
        </w:rPr>
        <w:t>表2-2 土地征收成片开发特性表</w:t>
      </w:r>
    </w:p>
    <w:p>
      <w:pPr>
        <w:ind w:firstLine="420"/>
        <w:jc w:val="right"/>
        <w:rPr>
          <w:rFonts w:ascii="Times New Roman" w:hAnsi="Times New Roman" w:eastAsia="宋体" w:cs="Times New Roman"/>
          <w:sz w:val="21"/>
          <w:szCs w:val="21"/>
        </w:rPr>
      </w:pPr>
      <w:r>
        <w:rPr>
          <w:rFonts w:ascii="Times New Roman" w:hAnsi="Times New Roman" w:eastAsia="宋体" w:cs="Times New Roman"/>
          <w:sz w:val="21"/>
          <w:szCs w:val="21"/>
        </w:rPr>
        <w:t>单位：公顷、%</w:t>
      </w:r>
    </w:p>
    <w:tbl>
      <w:tblPr>
        <w:tblStyle w:val="13"/>
        <w:tblW w:w="5000" w:type="pct"/>
        <w:tblInd w:w="0" w:type="dxa"/>
        <w:tblLayout w:type="autofit"/>
        <w:tblCellMar>
          <w:top w:w="0" w:type="dxa"/>
          <w:left w:w="108" w:type="dxa"/>
          <w:bottom w:w="0" w:type="dxa"/>
          <w:right w:w="108" w:type="dxa"/>
        </w:tblCellMar>
      </w:tblPr>
      <w:tblGrid>
        <w:gridCol w:w="636"/>
        <w:gridCol w:w="2946"/>
        <w:gridCol w:w="1976"/>
        <w:gridCol w:w="858"/>
        <w:gridCol w:w="2106"/>
      </w:tblGrid>
      <w:tr>
        <w:tblPrEx>
          <w:tblCellMar>
            <w:top w:w="0" w:type="dxa"/>
            <w:left w:w="108" w:type="dxa"/>
            <w:bottom w:w="0" w:type="dxa"/>
            <w:right w:w="108" w:type="dxa"/>
          </w:tblCellMar>
        </w:tblPrEx>
        <w:trPr>
          <w:trHeight w:val="300" w:hRule="atLeast"/>
        </w:trPr>
        <w:tc>
          <w:tcPr>
            <w:tcW w:w="328" w:type="pct"/>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序号</w:t>
            </w:r>
          </w:p>
        </w:tc>
        <w:tc>
          <w:tcPr>
            <w:tcW w:w="601" w:type="pct"/>
            <w:tcBorders>
              <w:top w:val="single" w:color="auto" w:sz="8" w:space="0"/>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名称</w:t>
            </w:r>
          </w:p>
        </w:tc>
        <w:tc>
          <w:tcPr>
            <w:tcW w:w="2199" w:type="pct"/>
            <w:tcBorders>
              <w:top w:val="single" w:color="auto" w:sz="8" w:space="0"/>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单位</w:t>
            </w:r>
          </w:p>
        </w:tc>
        <w:tc>
          <w:tcPr>
            <w:tcW w:w="1543" w:type="pct"/>
            <w:tcBorders>
              <w:top w:val="single" w:color="auto" w:sz="8" w:space="0"/>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数值</w:t>
            </w:r>
          </w:p>
        </w:tc>
        <w:tc>
          <w:tcPr>
            <w:tcW w:w="328" w:type="pct"/>
            <w:tcBorders>
              <w:top w:val="single" w:color="auto" w:sz="8" w:space="0"/>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备注</w:t>
            </w:r>
          </w:p>
        </w:tc>
      </w:tr>
      <w:tr>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一</w:t>
            </w:r>
          </w:p>
        </w:tc>
        <w:tc>
          <w:tcPr>
            <w:tcW w:w="4672" w:type="pct"/>
            <w:gridSpan w:val="4"/>
            <w:tcBorders>
              <w:top w:val="single" w:color="auto" w:sz="8" w:space="0"/>
              <w:left w:val="nil"/>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方案概况</w:t>
            </w:r>
          </w:p>
        </w:tc>
      </w:tr>
      <w:tr>
        <w:tblPrEx>
          <w:tblCellMar>
            <w:top w:w="0" w:type="dxa"/>
            <w:left w:w="108" w:type="dxa"/>
            <w:bottom w:w="0" w:type="dxa"/>
            <w:right w:w="108" w:type="dxa"/>
          </w:tblCellMar>
        </w:tblPrEx>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成片开发位置</w:t>
            </w:r>
          </w:p>
        </w:tc>
        <w:tc>
          <w:tcPr>
            <w:tcW w:w="4070" w:type="pct"/>
            <w:gridSpan w:val="3"/>
            <w:tcBorders>
              <w:top w:val="single" w:color="auto" w:sz="8" w:space="0"/>
              <w:left w:val="nil"/>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碾盘乡</w:t>
            </w:r>
          </w:p>
        </w:tc>
      </w:tr>
      <w:tr>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2</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成片开发范围面积</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公顷</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8.1578</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blPrEx>
          <w:tblCellMar>
            <w:top w:w="0" w:type="dxa"/>
            <w:left w:w="108" w:type="dxa"/>
            <w:bottom w:w="0" w:type="dxa"/>
            <w:right w:w="108" w:type="dxa"/>
          </w:tblCellMar>
        </w:tblPrEx>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3</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土地征收范围面积</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公顷</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1.2976</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拟征收地块数量</w:t>
            </w:r>
            <w:r>
              <w:rPr>
                <w:rFonts w:ascii="Times New Roman" w:hAnsi="Times New Roman" w:eastAsia="宋体" w:cs="Times New Roman"/>
                <w:color w:val="000000"/>
                <w:kern w:val="0"/>
                <w:sz w:val="21"/>
                <w:szCs w:val="21"/>
              </w:rPr>
              <w:t>2</w:t>
            </w:r>
            <w:r>
              <w:rPr>
                <w:rFonts w:hint="eastAsia" w:ascii="宋体" w:hAnsi="宋体" w:eastAsia="宋体" w:cs="宋体"/>
                <w:color w:val="000000"/>
                <w:kern w:val="0"/>
                <w:sz w:val="21"/>
                <w:szCs w:val="21"/>
              </w:rPr>
              <w:t>个</w:t>
            </w:r>
          </w:p>
        </w:tc>
      </w:tr>
      <w:tr>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4</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成片开发区域权属性质</w:t>
            </w:r>
          </w:p>
        </w:tc>
        <w:tc>
          <w:tcPr>
            <w:tcW w:w="4070" w:type="pct"/>
            <w:gridSpan w:val="3"/>
            <w:tcBorders>
              <w:top w:val="single" w:color="auto" w:sz="8" w:space="0"/>
              <w:left w:val="nil"/>
              <w:bottom w:val="single" w:color="auto" w:sz="8" w:space="0"/>
              <w:right w:val="single" w:color="000000"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集体土地</w:t>
            </w:r>
            <w:r>
              <w:rPr>
                <w:rFonts w:ascii="Times New Roman" w:hAnsi="Times New Roman" w:eastAsia="宋体" w:cs="Times New Roman"/>
                <w:color w:val="000000"/>
                <w:kern w:val="0"/>
                <w:sz w:val="21"/>
                <w:szCs w:val="21"/>
              </w:rPr>
              <w:t>1.2976</w:t>
            </w:r>
            <w:r>
              <w:rPr>
                <w:rFonts w:hint="eastAsia" w:ascii="宋体" w:hAnsi="宋体" w:eastAsia="宋体" w:cs="宋体"/>
                <w:color w:val="000000"/>
                <w:kern w:val="0"/>
                <w:sz w:val="21"/>
                <w:szCs w:val="21"/>
              </w:rPr>
              <w:t>公顷</w:t>
            </w:r>
          </w:p>
        </w:tc>
      </w:tr>
      <w:tr>
        <w:tblPrEx>
          <w:tblCellMar>
            <w:top w:w="0" w:type="dxa"/>
            <w:left w:w="108" w:type="dxa"/>
            <w:bottom w:w="0" w:type="dxa"/>
            <w:right w:w="108" w:type="dxa"/>
          </w:tblCellMar>
        </w:tblPrEx>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5</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是否符合国土空间规划</w:t>
            </w:r>
          </w:p>
        </w:tc>
        <w:tc>
          <w:tcPr>
            <w:tcW w:w="4070" w:type="pct"/>
            <w:gridSpan w:val="3"/>
            <w:tcBorders>
              <w:top w:val="single" w:color="auto" w:sz="8" w:space="0"/>
              <w:left w:val="nil"/>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符合</w:t>
            </w:r>
          </w:p>
        </w:tc>
      </w:tr>
      <w:tr>
        <w:trPr>
          <w:trHeight w:val="129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6</w:t>
            </w:r>
          </w:p>
        </w:tc>
        <w:tc>
          <w:tcPr>
            <w:tcW w:w="601"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集体经济组织村民会议或村民代表同意比例</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w:t>
            </w:r>
          </w:p>
        </w:tc>
        <w:tc>
          <w:tcPr>
            <w:tcW w:w="1871" w:type="pct"/>
            <w:gridSpan w:val="2"/>
            <w:tcBorders>
              <w:top w:val="single" w:color="auto" w:sz="8" w:space="0"/>
              <w:left w:val="nil"/>
              <w:bottom w:val="single" w:color="auto" w:sz="8" w:space="0"/>
              <w:right w:val="single" w:color="000000" w:sz="8" w:space="0"/>
            </w:tcBorders>
            <w:shd w:val="clear" w:color="auto" w:fill="auto"/>
            <w:noWrap/>
            <w:vAlign w:val="center"/>
          </w:tcPr>
          <w:p>
            <w:pPr>
              <w:widowControl/>
              <w:spacing w:line="240" w:lineRule="auto"/>
              <w:ind w:firstLine="0" w:firstLineChars="0"/>
              <w:rPr>
                <w:rFonts w:ascii="宋体" w:hAnsi="宋体" w:eastAsia="宋体" w:cs="宋体"/>
                <w:color w:val="000000"/>
                <w:kern w:val="0"/>
                <w:sz w:val="21"/>
                <w:szCs w:val="21"/>
              </w:rPr>
            </w:pPr>
            <w:r>
              <w:rPr>
                <w:rFonts w:hint="eastAsia" w:ascii="宋体" w:hAnsi="宋体" w:eastAsia="宋体" w:cs="宋体"/>
                <w:color w:val="000000"/>
                <w:kern w:val="0"/>
                <w:sz w:val="21"/>
                <w:szCs w:val="21"/>
              </w:rPr>
              <w:t>三分之二以上</w:t>
            </w:r>
          </w:p>
        </w:tc>
      </w:tr>
      <w:tr>
        <w:tblPrEx>
          <w:tblCellMar>
            <w:top w:w="0" w:type="dxa"/>
            <w:left w:w="108" w:type="dxa"/>
            <w:bottom w:w="0" w:type="dxa"/>
            <w:right w:w="108" w:type="dxa"/>
          </w:tblCellMar>
        </w:tblPrEx>
        <w:trPr>
          <w:trHeight w:val="300" w:hRule="atLeast"/>
        </w:trPr>
        <w:tc>
          <w:tcPr>
            <w:tcW w:w="328" w:type="pct"/>
            <w:vMerge w:val="restart"/>
            <w:tcBorders>
              <w:top w:val="nil"/>
              <w:left w:val="single" w:color="auto" w:sz="8" w:space="0"/>
              <w:bottom w:val="single" w:color="000000"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7</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土地征收范围占用耕地面积</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公顷</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0.928</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rPr>
          <w:trHeight w:val="300" w:hRule="atLeast"/>
        </w:trPr>
        <w:tc>
          <w:tcPr>
            <w:tcW w:w="328" w:type="pct"/>
            <w:vMerge w:val="continue"/>
            <w:tcBorders>
              <w:top w:val="nil"/>
              <w:left w:val="single" w:color="auto" w:sz="8" w:space="0"/>
              <w:bottom w:val="single" w:color="000000" w:sz="8" w:space="0"/>
              <w:right w:val="single" w:color="auto" w:sz="8" w:space="0"/>
            </w:tcBorders>
            <w:vAlign w:val="center"/>
          </w:tcPr>
          <w:p>
            <w:pPr>
              <w:widowControl/>
              <w:spacing w:line="240" w:lineRule="auto"/>
              <w:ind w:firstLine="0" w:firstLineChars="0"/>
              <w:rPr>
                <w:rFonts w:ascii="Times New Roman" w:hAnsi="Times New Roman" w:eastAsia="等线" w:cs="Times New Roman"/>
                <w:color w:val="000000"/>
                <w:kern w:val="0"/>
                <w:sz w:val="21"/>
                <w:szCs w:val="21"/>
              </w:rPr>
            </w:pP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耕地占用土地征收范围的比例</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71.52</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blPrEx>
          <w:tblCellMar>
            <w:top w:w="0" w:type="dxa"/>
            <w:left w:w="108" w:type="dxa"/>
            <w:bottom w:w="0" w:type="dxa"/>
            <w:right w:w="108" w:type="dxa"/>
          </w:tblCellMar>
        </w:tblPrEx>
        <w:trPr>
          <w:trHeight w:val="300" w:hRule="atLeast"/>
        </w:trPr>
        <w:tc>
          <w:tcPr>
            <w:tcW w:w="328" w:type="pct"/>
            <w:vMerge w:val="continue"/>
            <w:tcBorders>
              <w:top w:val="nil"/>
              <w:left w:val="single" w:color="auto" w:sz="8" w:space="0"/>
              <w:bottom w:val="single" w:color="000000" w:sz="8" w:space="0"/>
              <w:right w:val="single" w:color="auto" w:sz="8" w:space="0"/>
            </w:tcBorders>
            <w:vAlign w:val="center"/>
          </w:tcPr>
          <w:p>
            <w:pPr>
              <w:widowControl/>
              <w:spacing w:line="240" w:lineRule="auto"/>
              <w:ind w:firstLine="0" w:firstLineChars="0"/>
              <w:rPr>
                <w:rFonts w:ascii="Times New Roman" w:hAnsi="Times New Roman" w:eastAsia="等线" w:cs="Times New Roman"/>
                <w:color w:val="000000"/>
                <w:kern w:val="0"/>
                <w:sz w:val="21"/>
                <w:szCs w:val="21"/>
              </w:rPr>
            </w:pP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其中：占用水田面积</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公顷</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0</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rPr>
          <w:trHeight w:val="300" w:hRule="atLeast"/>
        </w:trPr>
        <w:tc>
          <w:tcPr>
            <w:tcW w:w="328" w:type="pct"/>
            <w:vMerge w:val="continue"/>
            <w:tcBorders>
              <w:top w:val="nil"/>
              <w:left w:val="single" w:color="auto" w:sz="8" w:space="0"/>
              <w:bottom w:val="single" w:color="000000" w:sz="8" w:space="0"/>
              <w:right w:val="single" w:color="auto" w:sz="8" w:space="0"/>
            </w:tcBorders>
            <w:vAlign w:val="center"/>
          </w:tcPr>
          <w:p>
            <w:pPr>
              <w:widowControl/>
              <w:spacing w:line="240" w:lineRule="auto"/>
              <w:ind w:firstLine="0" w:firstLineChars="0"/>
              <w:rPr>
                <w:rFonts w:ascii="Times New Roman" w:hAnsi="Times New Roman" w:eastAsia="等线" w:cs="Times New Roman"/>
                <w:color w:val="000000"/>
                <w:kern w:val="0"/>
                <w:sz w:val="21"/>
                <w:szCs w:val="21"/>
              </w:rPr>
            </w:pP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水田占用耕地比例</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0</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blPrEx>
          <w:tblCellMar>
            <w:top w:w="0" w:type="dxa"/>
            <w:left w:w="108" w:type="dxa"/>
            <w:bottom w:w="0" w:type="dxa"/>
            <w:right w:w="108" w:type="dxa"/>
          </w:tblCellMar>
        </w:tblPrEx>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二</w:t>
            </w:r>
          </w:p>
        </w:tc>
        <w:tc>
          <w:tcPr>
            <w:tcW w:w="4672" w:type="pct"/>
            <w:gridSpan w:val="4"/>
            <w:tcBorders>
              <w:top w:val="single" w:color="auto" w:sz="8" w:space="0"/>
              <w:left w:val="nil"/>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拟安排的建设项目</w:t>
            </w:r>
          </w:p>
        </w:tc>
      </w:tr>
      <w:tr>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拟建设项目情况</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公顷</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1.2976</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blPrEx>
          <w:tblCellMar>
            <w:top w:w="0" w:type="dxa"/>
            <w:left w:w="108" w:type="dxa"/>
            <w:bottom w:w="0" w:type="dxa"/>
            <w:right w:w="108" w:type="dxa"/>
          </w:tblCellMar>
        </w:tblPrEx>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2</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实施计划周期</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年</w:t>
            </w:r>
          </w:p>
        </w:tc>
        <w:tc>
          <w:tcPr>
            <w:tcW w:w="1543"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2</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三</w:t>
            </w:r>
          </w:p>
        </w:tc>
        <w:tc>
          <w:tcPr>
            <w:tcW w:w="4672" w:type="pct"/>
            <w:gridSpan w:val="4"/>
            <w:tcBorders>
              <w:top w:val="single" w:color="auto" w:sz="8" w:space="0"/>
              <w:left w:val="nil"/>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公益性用地情况</w:t>
            </w:r>
          </w:p>
        </w:tc>
      </w:tr>
      <w:tr>
        <w:tblPrEx>
          <w:tblCellMar>
            <w:top w:w="0" w:type="dxa"/>
            <w:left w:w="108" w:type="dxa"/>
            <w:bottom w:w="0" w:type="dxa"/>
            <w:right w:w="108" w:type="dxa"/>
          </w:tblCellMar>
        </w:tblPrEx>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公益性用地面积</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公顷</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1.4</w:t>
            </w:r>
            <w:r>
              <w:rPr>
                <w:rFonts w:hint="eastAsia" w:ascii="Times New Roman" w:hAnsi="Times New Roman" w:eastAsia="等线" w:cs="Times New Roman"/>
                <w:color w:val="000000"/>
                <w:kern w:val="0"/>
                <w:sz w:val="21"/>
                <w:szCs w:val="21"/>
              </w:rPr>
              <w:t>344</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r>
        <w:trPr>
          <w:trHeight w:val="300" w:hRule="atLeast"/>
        </w:trPr>
        <w:tc>
          <w:tcPr>
            <w:tcW w:w="328"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2</w:t>
            </w:r>
          </w:p>
        </w:tc>
        <w:tc>
          <w:tcPr>
            <w:tcW w:w="601"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公益性用地比例</w:t>
            </w:r>
          </w:p>
        </w:tc>
        <w:tc>
          <w:tcPr>
            <w:tcW w:w="219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w:t>
            </w:r>
          </w:p>
        </w:tc>
        <w:tc>
          <w:tcPr>
            <w:tcW w:w="154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w:t>
            </w:r>
            <w:r>
              <w:rPr>
                <w:rFonts w:hint="eastAsia" w:ascii="Times New Roman" w:hAnsi="Times New Roman" w:eastAsia="等线" w:cs="Times New Roman"/>
                <w:color w:val="000000"/>
                <w:kern w:val="0"/>
                <w:sz w:val="21"/>
                <w:szCs w:val="21"/>
              </w:rPr>
              <w:t>7.58</w:t>
            </w:r>
          </w:p>
        </w:tc>
        <w:tc>
          <w:tcPr>
            <w:tcW w:w="328"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r>
    </w:tbl>
    <w:p>
      <w:pPr>
        <w:pStyle w:val="3"/>
        <w:numPr>
          <w:ilvl w:val="1"/>
          <w:numId w:val="1"/>
        </w:numPr>
        <w:ind w:firstLineChars="0"/>
        <w:rPr>
          <w:rFonts w:ascii="Times New Roman" w:hAnsi="Times New Roman" w:eastAsia="宋体" w:cs="Times New Roman"/>
        </w:rPr>
      </w:pPr>
      <w:bookmarkStart w:id="8" w:name="_Toc150354716"/>
      <w:r>
        <w:rPr>
          <w:rFonts w:ascii="Times New Roman" w:hAnsi="Times New Roman" w:eastAsia="宋体" w:cs="Times New Roman"/>
        </w:rPr>
        <w:t>土地利用现状情况</w:t>
      </w:r>
      <w:bookmarkEnd w:id="8"/>
      <w:r>
        <w:rPr>
          <w:rFonts w:ascii="Times New Roman" w:hAnsi="Times New Roman" w:eastAsia="宋体" w:cs="Times New Roman"/>
        </w:rPr>
        <w:t xml:space="preserve"> </w:t>
      </w:r>
    </w:p>
    <w:p>
      <w:pPr>
        <w:rPr>
          <w:rFonts w:ascii="Times New Roman" w:hAnsi="Times New Roman" w:eastAsia="宋体" w:cs="Times New Roman"/>
        </w:rPr>
      </w:pPr>
      <w:r>
        <w:rPr>
          <w:rFonts w:hint="eastAsia" w:ascii="Times New Roman" w:hAnsi="Times New Roman" w:eastAsia="宋体" w:cs="Times New Roman"/>
        </w:rPr>
        <w:t>开发片区土地利用现状。根据东洲</w:t>
      </w:r>
      <w:r>
        <w:rPr>
          <w:rFonts w:ascii="Times New Roman" w:hAnsi="Times New Roman" w:eastAsia="宋体" w:cs="Times New Roman"/>
        </w:rPr>
        <w:t>202</w:t>
      </w:r>
      <w:r>
        <w:rPr>
          <w:rFonts w:hint="eastAsia" w:ascii="Times New Roman" w:hAnsi="Times New Roman" w:eastAsia="宋体" w:cs="Times New Roman"/>
        </w:rPr>
        <w:t>2</w:t>
      </w:r>
      <w:r>
        <w:rPr>
          <w:rFonts w:ascii="Times New Roman" w:hAnsi="Times New Roman" w:eastAsia="宋体" w:cs="Times New Roman"/>
        </w:rPr>
        <w:t>年度</w:t>
      </w:r>
      <w:r>
        <w:rPr>
          <w:rFonts w:hint="eastAsia" w:ascii="Times New Roman" w:hAnsi="Times New Roman" w:eastAsia="宋体" w:cs="Times New Roman"/>
        </w:rPr>
        <w:t>国土</w:t>
      </w:r>
      <w:r>
        <w:rPr>
          <w:rFonts w:ascii="Times New Roman" w:hAnsi="Times New Roman" w:eastAsia="宋体" w:cs="Times New Roman"/>
        </w:rPr>
        <w:t>变更调查成果</w:t>
      </w:r>
      <w:r>
        <w:rPr>
          <w:rFonts w:hint="eastAsia" w:ascii="Times New Roman" w:hAnsi="Times New Roman" w:eastAsia="宋体" w:cs="Times New Roman"/>
        </w:rPr>
        <w:t>统计，本次土地征收成片开发片区总面积</w:t>
      </w:r>
      <w:r>
        <w:rPr>
          <w:rFonts w:ascii="Times New Roman" w:hAnsi="Times New Roman" w:eastAsia="宋体" w:cs="Times New Roman"/>
        </w:rPr>
        <w:t>8.1578公顷，其中农用地</w:t>
      </w:r>
      <w:r>
        <w:rPr>
          <w:rFonts w:hint="eastAsia" w:ascii="Times New Roman" w:hAnsi="Times New Roman" w:eastAsia="宋体" w:cs="Times New Roman"/>
        </w:rPr>
        <w:t>1.2976公顷，占成片开发面积的15.91%；建设用地6.8602</w:t>
      </w:r>
      <w:r>
        <w:rPr>
          <w:rFonts w:ascii="Times New Roman" w:hAnsi="Times New Roman" w:eastAsia="宋体" w:cs="Times New Roman"/>
        </w:rPr>
        <w:t>公顷</w:t>
      </w:r>
      <w:r>
        <w:rPr>
          <w:rFonts w:hint="eastAsia" w:ascii="Times New Roman" w:hAnsi="Times New Roman" w:eastAsia="宋体" w:cs="Times New Roman"/>
        </w:rPr>
        <w:t>，占成片开发面积的84.09%。详见表2-4。</w:t>
      </w:r>
    </w:p>
    <w:p>
      <w:pPr>
        <w:rPr>
          <w:rFonts w:ascii="Times New Roman" w:hAnsi="Times New Roman" w:eastAsia="宋体" w:cs="Times New Roman"/>
        </w:rPr>
        <w:sectPr>
          <w:pgSz w:w="11906" w:h="16838"/>
          <w:pgMar w:top="1440" w:right="1800" w:bottom="1440" w:left="1800" w:header="851" w:footer="992" w:gutter="0"/>
          <w:cols w:space="425" w:num="1"/>
          <w:docGrid w:type="lines" w:linePitch="312" w:charSpace="0"/>
        </w:sectPr>
      </w:pPr>
      <w:r>
        <w:rPr>
          <w:rFonts w:ascii="Times New Roman" w:hAnsi="Times New Roman" w:eastAsia="宋体" w:cs="Times New Roman"/>
        </w:rPr>
        <w:t>拟征收地块</w:t>
      </w:r>
      <w:r>
        <w:rPr>
          <w:rFonts w:hint="eastAsia" w:ascii="Times New Roman" w:hAnsi="Times New Roman" w:eastAsia="宋体" w:cs="Times New Roman"/>
        </w:rPr>
        <w:t>土地利用现状。根据东洲</w:t>
      </w:r>
      <w:r>
        <w:rPr>
          <w:rFonts w:ascii="Times New Roman" w:hAnsi="Times New Roman" w:eastAsia="宋体" w:cs="Times New Roman"/>
        </w:rPr>
        <w:t>202</w:t>
      </w:r>
      <w:r>
        <w:rPr>
          <w:rFonts w:hint="eastAsia" w:ascii="Times New Roman" w:hAnsi="Times New Roman" w:eastAsia="宋体" w:cs="Times New Roman"/>
        </w:rPr>
        <w:t>2</w:t>
      </w:r>
      <w:r>
        <w:rPr>
          <w:rFonts w:ascii="Times New Roman" w:hAnsi="Times New Roman" w:eastAsia="宋体" w:cs="Times New Roman"/>
        </w:rPr>
        <w:t>年度</w:t>
      </w:r>
      <w:r>
        <w:rPr>
          <w:rFonts w:hint="eastAsia" w:ascii="Times New Roman" w:hAnsi="Times New Roman" w:eastAsia="宋体" w:cs="Times New Roman"/>
        </w:rPr>
        <w:t>国土</w:t>
      </w:r>
      <w:r>
        <w:rPr>
          <w:rFonts w:ascii="Times New Roman" w:hAnsi="Times New Roman" w:eastAsia="宋体" w:cs="Times New Roman"/>
        </w:rPr>
        <w:t>变更调查成果</w:t>
      </w:r>
      <w:r>
        <w:rPr>
          <w:rFonts w:hint="eastAsia" w:ascii="Times New Roman" w:hAnsi="Times New Roman" w:eastAsia="宋体" w:cs="Times New Roman"/>
        </w:rPr>
        <w:t>统计，本次方案</w:t>
      </w:r>
      <w:r>
        <w:rPr>
          <w:rFonts w:ascii="Times New Roman" w:hAnsi="Times New Roman" w:eastAsia="宋体" w:cs="Times New Roman"/>
        </w:rPr>
        <w:t>拟征收地块总规模1.2976公顷，</w:t>
      </w:r>
      <w:r>
        <w:rPr>
          <w:rFonts w:hint="eastAsia" w:ascii="Times New Roman" w:hAnsi="Times New Roman" w:eastAsia="宋体" w:cs="Times New Roman"/>
        </w:rPr>
        <w:t>全部为</w:t>
      </w:r>
      <w:r>
        <w:rPr>
          <w:rFonts w:ascii="Times New Roman" w:hAnsi="Times New Roman" w:eastAsia="宋体" w:cs="Times New Roman"/>
        </w:rPr>
        <w:t>农用地。</w:t>
      </w:r>
      <w:r>
        <w:rPr>
          <w:rFonts w:hint="eastAsia" w:ascii="Times New Roman" w:hAnsi="Times New Roman" w:eastAsia="宋体" w:cs="Times New Roman"/>
        </w:rPr>
        <w:t>详见表2-5。</w:t>
      </w:r>
    </w:p>
    <w:p>
      <w:pPr>
        <w:ind w:firstLine="420"/>
        <w:jc w:val="center"/>
        <w:rPr>
          <w:rFonts w:ascii="Times New Roman" w:hAnsi="Times New Roman" w:eastAsia="宋体" w:cs="Times New Roman"/>
          <w:sz w:val="21"/>
          <w:szCs w:val="21"/>
        </w:rPr>
      </w:pPr>
      <w:r>
        <w:rPr>
          <w:rFonts w:ascii="Times New Roman" w:hAnsi="Times New Roman" w:eastAsia="宋体" w:cs="Times New Roman"/>
          <w:sz w:val="21"/>
          <w:szCs w:val="21"/>
        </w:rPr>
        <w:t>表2-</w:t>
      </w:r>
      <w:r>
        <w:rPr>
          <w:rFonts w:hint="eastAsia" w:ascii="Times New Roman" w:hAnsi="Times New Roman" w:eastAsia="宋体" w:cs="Times New Roman"/>
          <w:sz w:val="21"/>
          <w:szCs w:val="21"/>
        </w:rPr>
        <w:t>3</w:t>
      </w:r>
      <w:r>
        <w:rPr>
          <w:rFonts w:ascii="Times New Roman" w:hAnsi="Times New Roman" w:eastAsia="宋体" w:cs="Times New Roman"/>
          <w:sz w:val="21"/>
          <w:szCs w:val="21"/>
        </w:rPr>
        <w:t xml:space="preserve"> </w:t>
      </w:r>
      <w:r>
        <w:rPr>
          <w:rFonts w:hint="eastAsia" w:ascii="Times New Roman" w:hAnsi="Times New Roman" w:eastAsia="宋体" w:cs="Times New Roman"/>
          <w:sz w:val="21"/>
          <w:szCs w:val="21"/>
        </w:rPr>
        <w:t>开发片区</w:t>
      </w:r>
      <w:r>
        <w:rPr>
          <w:rFonts w:ascii="Times New Roman" w:hAnsi="Times New Roman" w:eastAsia="宋体" w:cs="Times New Roman"/>
          <w:sz w:val="21"/>
          <w:szCs w:val="21"/>
        </w:rPr>
        <w:t>土地利用现状统计表</w:t>
      </w:r>
    </w:p>
    <w:p>
      <w:pPr>
        <w:ind w:firstLine="420"/>
        <w:jc w:val="right"/>
        <w:rPr>
          <w:rFonts w:ascii="Times New Roman" w:hAnsi="Times New Roman" w:eastAsia="宋体" w:cs="Times New Roman"/>
          <w:sz w:val="21"/>
          <w:szCs w:val="21"/>
        </w:rPr>
      </w:pPr>
      <w:r>
        <w:rPr>
          <w:rFonts w:ascii="Times New Roman" w:hAnsi="Times New Roman" w:eastAsia="宋体" w:cs="Times New Roman"/>
          <w:sz w:val="21"/>
          <w:szCs w:val="21"/>
        </w:rPr>
        <w:t>单位：公顷</w:t>
      </w:r>
    </w:p>
    <w:tbl>
      <w:tblPr>
        <w:tblStyle w:val="13"/>
        <w:tblW w:w="13916" w:type="dxa"/>
        <w:tblInd w:w="0" w:type="dxa"/>
        <w:tblLayout w:type="autofit"/>
        <w:tblCellMar>
          <w:top w:w="0" w:type="dxa"/>
          <w:left w:w="108" w:type="dxa"/>
          <w:bottom w:w="0" w:type="dxa"/>
          <w:right w:w="108" w:type="dxa"/>
        </w:tblCellMar>
      </w:tblPr>
      <w:tblGrid>
        <w:gridCol w:w="1324"/>
        <w:gridCol w:w="1325"/>
        <w:gridCol w:w="996"/>
        <w:gridCol w:w="864"/>
        <w:gridCol w:w="996"/>
        <w:gridCol w:w="1325"/>
        <w:gridCol w:w="1325"/>
        <w:gridCol w:w="1588"/>
        <w:gridCol w:w="996"/>
        <w:gridCol w:w="1325"/>
        <w:gridCol w:w="1852"/>
      </w:tblGrid>
      <w:tr>
        <w:tblPrEx>
          <w:tblCellMar>
            <w:top w:w="0" w:type="dxa"/>
            <w:left w:w="108" w:type="dxa"/>
            <w:bottom w:w="0" w:type="dxa"/>
            <w:right w:w="108" w:type="dxa"/>
          </w:tblCellMar>
        </w:tblPrEx>
        <w:trPr>
          <w:trHeight w:val="311" w:hRule="atLeast"/>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片区名称</w:t>
            </w:r>
          </w:p>
        </w:tc>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片区面积</w:t>
            </w:r>
          </w:p>
        </w:tc>
        <w:tc>
          <w:tcPr>
            <w:tcW w:w="0" w:type="auto"/>
            <w:gridSpan w:val="9"/>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地类</w:t>
            </w:r>
          </w:p>
        </w:tc>
      </w:tr>
      <w:tr>
        <w:tblPrEx>
          <w:tblCellMar>
            <w:top w:w="0" w:type="dxa"/>
            <w:left w:w="108" w:type="dxa"/>
            <w:bottom w:w="0" w:type="dxa"/>
            <w:right w:w="108" w:type="dxa"/>
          </w:tblCellMar>
        </w:tblPrEx>
        <w:trPr>
          <w:trHeight w:val="29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gridSpan w:val="6"/>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农用地</w:t>
            </w:r>
          </w:p>
        </w:tc>
        <w:tc>
          <w:tcPr>
            <w:tcW w:w="0" w:type="auto"/>
            <w:gridSpan w:val="3"/>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建设用地</w:t>
            </w:r>
          </w:p>
        </w:tc>
      </w:tr>
      <w:tr>
        <w:tblPrEx>
          <w:tblCellMar>
            <w:top w:w="0" w:type="dxa"/>
            <w:left w:w="108" w:type="dxa"/>
            <w:bottom w:w="0" w:type="dxa"/>
            <w:right w:w="108" w:type="dxa"/>
          </w:tblCellMar>
        </w:tblPrEx>
        <w:trPr>
          <w:trHeight w:val="311"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小计</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旱地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果园</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乔木林地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其他林地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其他农用地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小计</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工矿用地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交通运输用地</w:t>
            </w:r>
          </w:p>
        </w:tc>
      </w:tr>
      <w:tr>
        <w:trPr>
          <w:trHeight w:val="311"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东洲片区</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8.1578</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1.2976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0.928</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0.0102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0.1836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0.1486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0.0272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6.8602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6.318</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0.5422</w:t>
            </w:r>
          </w:p>
        </w:tc>
      </w:tr>
      <w:tr>
        <w:tblPrEx>
          <w:tblCellMar>
            <w:top w:w="0" w:type="dxa"/>
            <w:left w:w="108" w:type="dxa"/>
            <w:bottom w:w="0" w:type="dxa"/>
            <w:right w:w="108" w:type="dxa"/>
          </w:tblCellMar>
        </w:tblPrEx>
        <w:trPr>
          <w:trHeight w:val="311"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合计</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8.1578</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1.2976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0.928</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0.0102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0.1836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0.1486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0.0272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6.8602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6.318</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0.5422</w:t>
            </w:r>
          </w:p>
        </w:tc>
      </w:tr>
    </w:tbl>
    <w:p>
      <w:pPr>
        <w:ind w:firstLine="420"/>
        <w:jc w:val="center"/>
        <w:rPr>
          <w:rFonts w:ascii="Times New Roman" w:hAnsi="Times New Roman" w:eastAsia="宋体" w:cs="Times New Roman"/>
          <w:sz w:val="21"/>
          <w:szCs w:val="21"/>
        </w:rPr>
      </w:pPr>
      <w:r>
        <w:rPr>
          <w:rFonts w:ascii="Times New Roman" w:hAnsi="Times New Roman" w:eastAsia="宋体" w:cs="Times New Roman"/>
          <w:sz w:val="21"/>
          <w:szCs w:val="21"/>
        </w:rPr>
        <w:t>表2-</w:t>
      </w:r>
      <w:r>
        <w:rPr>
          <w:rFonts w:hint="eastAsia" w:ascii="Times New Roman" w:hAnsi="Times New Roman" w:eastAsia="宋体" w:cs="Times New Roman"/>
          <w:sz w:val="21"/>
          <w:szCs w:val="21"/>
        </w:rPr>
        <w:t>4</w:t>
      </w:r>
      <w:r>
        <w:rPr>
          <w:rFonts w:ascii="Times New Roman" w:hAnsi="Times New Roman" w:eastAsia="宋体" w:cs="Times New Roman"/>
          <w:sz w:val="21"/>
          <w:szCs w:val="21"/>
        </w:rPr>
        <w:t xml:space="preserve"> </w:t>
      </w:r>
      <w:r>
        <w:rPr>
          <w:rFonts w:hint="eastAsia" w:ascii="Times New Roman" w:hAnsi="Times New Roman" w:eastAsia="宋体" w:cs="Times New Roman"/>
          <w:sz w:val="21"/>
          <w:szCs w:val="21"/>
        </w:rPr>
        <w:t>拟开发地块</w:t>
      </w:r>
      <w:r>
        <w:rPr>
          <w:rFonts w:ascii="Times New Roman" w:hAnsi="Times New Roman" w:eastAsia="宋体" w:cs="Times New Roman"/>
          <w:sz w:val="21"/>
          <w:szCs w:val="21"/>
        </w:rPr>
        <w:t>土地利用现状统计表</w:t>
      </w:r>
    </w:p>
    <w:p>
      <w:pPr>
        <w:ind w:firstLine="420"/>
        <w:jc w:val="right"/>
      </w:pPr>
      <w:r>
        <w:rPr>
          <w:rFonts w:ascii="Times New Roman" w:hAnsi="Times New Roman" w:eastAsia="宋体" w:cs="Times New Roman"/>
          <w:sz w:val="21"/>
          <w:szCs w:val="21"/>
        </w:rPr>
        <w:t>单位：公顷</w:t>
      </w:r>
    </w:p>
    <w:tbl>
      <w:tblPr>
        <w:tblStyle w:val="13"/>
        <w:tblW w:w="13990" w:type="dxa"/>
        <w:tblInd w:w="0" w:type="dxa"/>
        <w:tblLayout w:type="autofit"/>
        <w:tblCellMar>
          <w:top w:w="0" w:type="dxa"/>
          <w:left w:w="108" w:type="dxa"/>
          <w:bottom w:w="0" w:type="dxa"/>
          <w:right w:w="108" w:type="dxa"/>
        </w:tblCellMar>
      </w:tblPr>
      <w:tblGrid>
        <w:gridCol w:w="1338"/>
        <w:gridCol w:w="1338"/>
        <w:gridCol w:w="1006"/>
        <w:gridCol w:w="1006"/>
        <w:gridCol w:w="1006"/>
        <w:gridCol w:w="1338"/>
        <w:gridCol w:w="1338"/>
        <w:gridCol w:w="1604"/>
        <w:gridCol w:w="806"/>
        <w:gridCol w:w="1339"/>
        <w:gridCol w:w="1871"/>
      </w:tblGrid>
      <w:tr>
        <w:tblPrEx>
          <w:tblCellMar>
            <w:top w:w="0" w:type="dxa"/>
            <w:left w:w="108" w:type="dxa"/>
            <w:bottom w:w="0" w:type="dxa"/>
            <w:right w:w="108" w:type="dxa"/>
          </w:tblCellMar>
        </w:tblPrEx>
        <w:trPr>
          <w:trHeight w:val="280" w:hRule="atLeast"/>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片区名称</w:t>
            </w:r>
          </w:p>
        </w:tc>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地块编号</w:t>
            </w:r>
          </w:p>
        </w:tc>
        <w:tc>
          <w:tcPr>
            <w:tcW w:w="0" w:type="auto"/>
            <w:gridSpan w:val="9"/>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地类</w:t>
            </w:r>
          </w:p>
        </w:tc>
      </w:tr>
      <w:tr>
        <w:tblPrEx>
          <w:tblCellMar>
            <w:top w:w="0" w:type="dxa"/>
            <w:left w:w="108" w:type="dxa"/>
            <w:bottom w:w="0" w:type="dxa"/>
            <w:right w:w="108" w:type="dxa"/>
          </w:tblCellMar>
        </w:tblPrEx>
        <w:trPr>
          <w:trHeight w:val="266"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p>
        </w:tc>
        <w:tc>
          <w:tcPr>
            <w:tcW w:w="0" w:type="auto"/>
            <w:gridSpan w:val="5"/>
            <w:tcBorders>
              <w:top w:val="single" w:color="auto" w:sz="4" w:space="0"/>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农用地</w:t>
            </w:r>
          </w:p>
        </w:tc>
        <w:tc>
          <w:tcPr>
            <w:tcW w:w="0" w:type="auto"/>
            <w:gridSpan w:val="3"/>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建设用地</w:t>
            </w:r>
          </w:p>
        </w:tc>
      </w:tr>
      <w:tr>
        <w:tblPrEx>
          <w:tblCellMar>
            <w:top w:w="0" w:type="dxa"/>
            <w:left w:w="108" w:type="dxa"/>
            <w:bottom w:w="0" w:type="dxa"/>
            <w:right w:w="108" w:type="dxa"/>
          </w:tblCellMar>
        </w:tblPrEx>
        <w:trPr>
          <w:trHeight w:val="28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合计</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旱地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果园</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乔木林地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其他林地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其他农用地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小计</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工矿用地</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交通运输用地</w:t>
            </w:r>
          </w:p>
        </w:tc>
      </w:tr>
      <w:tr>
        <w:tblPrEx>
          <w:tblCellMar>
            <w:top w:w="0" w:type="dxa"/>
            <w:left w:w="108" w:type="dxa"/>
            <w:bottom w:w="0" w:type="dxa"/>
            <w:right w:w="108" w:type="dxa"/>
          </w:tblCellMar>
        </w:tblPrEx>
        <w:trPr>
          <w:trHeight w:val="280" w:hRule="atLeast"/>
        </w:trPr>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东洲片区</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DK-1</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0.8922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0.7379</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0</w:t>
            </w:r>
            <w:r>
              <w:rPr>
                <w:rFonts w:ascii="Times New Roman" w:hAnsi="Times New Roman" w:eastAsia="宋体" w:cs="Times New Roman"/>
                <w:color w:val="000000"/>
                <w:kern w:val="0"/>
                <w:sz w:val="21"/>
                <w:szCs w:val="21"/>
              </w:rPr>
              <w:t>　</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0.1271</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0.0272</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r>
      <w:tr>
        <w:tblPrEx>
          <w:tblCellMar>
            <w:top w:w="0" w:type="dxa"/>
            <w:left w:w="108" w:type="dxa"/>
            <w:bottom w:w="0" w:type="dxa"/>
            <w:right w:w="108" w:type="dxa"/>
          </w:tblCellMar>
        </w:tblPrEx>
        <w:trPr>
          <w:trHeight w:val="28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0.4054</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0.1901</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0.0102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0.1836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0.0215</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0</w:t>
            </w:r>
            <w:r>
              <w:rPr>
                <w:rFonts w:ascii="Times New Roman" w:hAnsi="Times New Roman" w:eastAsia="宋体" w:cs="Times New Roman"/>
                <w:color w:val="000000"/>
                <w:kern w:val="0"/>
                <w:sz w:val="21"/>
                <w:szCs w:val="21"/>
              </w:rPr>
              <w:t>　</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r>
      <w:tr>
        <w:tblPrEx>
          <w:tblCellMar>
            <w:top w:w="0" w:type="dxa"/>
            <w:left w:w="108" w:type="dxa"/>
            <w:bottom w:w="0" w:type="dxa"/>
            <w:right w:w="108" w:type="dxa"/>
          </w:tblCellMar>
        </w:tblPrEx>
        <w:trPr>
          <w:trHeight w:val="280" w:hRule="atLeast"/>
        </w:trPr>
        <w:tc>
          <w:tcPr>
            <w:tcW w:w="0" w:type="auto"/>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合计</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1.2976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0.928</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0.0102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0.1836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0.1486</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0.0272</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r>
              <w:rPr>
                <w:rFonts w:hint="eastAsia" w:ascii="Times New Roman" w:hAnsi="Times New Roman" w:eastAsia="宋体" w:cs="Times New Roman"/>
                <w:color w:val="000000"/>
                <w:kern w:val="0"/>
                <w:sz w:val="21"/>
                <w:szCs w:val="21"/>
              </w:rPr>
              <w:t>0</w:t>
            </w:r>
          </w:p>
        </w:tc>
      </w:tr>
    </w:tbl>
    <w:p/>
    <w:p>
      <w:pPr>
        <w:sectPr>
          <w:pgSz w:w="16838" w:h="11906" w:orient="landscape"/>
          <w:pgMar w:top="1800" w:right="1440" w:bottom="1800" w:left="1440" w:header="851" w:footer="992" w:gutter="0"/>
          <w:cols w:space="425" w:num="1"/>
          <w:docGrid w:type="lines" w:linePitch="381" w:charSpace="0"/>
        </w:sectPr>
      </w:pPr>
    </w:p>
    <w:p>
      <w:pPr>
        <w:pStyle w:val="3"/>
        <w:numPr>
          <w:ilvl w:val="1"/>
          <w:numId w:val="1"/>
        </w:numPr>
        <w:ind w:firstLineChars="0"/>
        <w:rPr>
          <w:rFonts w:ascii="Times New Roman" w:hAnsi="Times New Roman" w:eastAsia="宋体" w:cs="Times New Roman"/>
        </w:rPr>
      </w:pPr>
      <w:bookmarkStart w:id="9" w:name="_Toc150354717"/>
      <w:r>
        <w:rPr>
          <w:rFonts w:ascii="Times New Roman" w:hAnsi="Times New Roman" w:eastAsia="宋体" w:cs="Times New Roman"/>
        </w:rPr>
        <w:t>土地权属情况</w:t>
      </w:r>
      <w:bookmarkEnd w:id="9"/>
    </w:p>
    <w:p>
      <w:pPr>
        <w:rPr>
          <w:rFonts w:ascii="Times New Roman" w:hAnsi="Times New Roman" w:eastAsia="宋体" w:cs="Times New Roman"/>
          <w:sz w:val="21"/>
          <w:szCs w:val="21"/>
        </w:rPr>
      </w:pPr>
      <w:r>
        <w:rPr>
          <w:rFonts w:ascii="Times New Roman" w:hAnsi="Times New Roman" w:eastAsia="宋体" w:cs="Times New Roman"/>
        </w:rPr>
        <w:t>根据东洲区202</w:t>
      </w:r>
      <w:r>
        <w:rPr>
          <w:rFonts w:hint="eastAsia" w:ascii="Times New Roman" w:hAnsi="Times New Roman" w:eastAsia="宋体" w:cs="Times New Roman"/>
        </w:rPr>
        <w:t>2</w:t>
      </w:r>
      <w:r>
        <w:rPr>
          <w:rFonts w:ascii="Times New Roman" w:hAnsi="Times New Roman" w:eastAsia="宋体" w:cs="Times New Roman"/>
        </w:rPr>
        <w:t>年度土地变更调查成果数据和东洲区集体土地所有权成果数据，结合实地调查，本次拟征收地块面积为1.2976公顷，全部为集体土地，分布在碾盘乡</w:t>
      </w:r>
      <w:r>
        <w:rPr>
          <w:rFonts w:hint="eastAsia" w:ascii="Times New Roman" w:hAnsi="Times New Roman" w:eastAsia="宋体" w:cs="Times New Roman"/>
        </w:rPr>
        <w:t>和章党街道</w:t>
      </w:r>
      <w:r>
        <w:rPr>
          <w:rFonts w:ascii="Times New Roman" w:hAnsi="Times New Roman" w:eastAsia="宋体" w:cs="Times New Roman"/>
        </w:rPr>
        <w:t>，涉及碾盘乡</w:t>
      </w:r>
      <w:r>
        <w:rPr>
          <w:rFonts w:hint="eastAsia" w:ascii="Times New Roman" w:hAnsi="Times New Roman" w:eastAsia="宋体" w:cs="Times New Roman"/>
        </w:rPr>
        <w:t>新太河村和章党街道章党汉族村2</w:t>
      </w:r>
      <w:r>
        <w:rPr>
          <w:rFonts w:ascii="Times New Roman" w:hAnsi="Times New Roman" w:eastAsia="宋体" w:cs="Times New Roman"/>
        </w:rPr>
        <w:t>个权属单位，拟开发地块土地产权清晰，界址清楚，权属无争议。详见下表：</w:t>
      </w:r>
    </w:p>
    <w:p>
      <w:pPr>
        <w:ind w:firstLine="420"/>
        <w:jc w:val="center"/>
        <w:rPr>
          <w:rFonts w:ascii="Times New Roman" w:hAnsi="Times New Roman" w:eastAsia="宋体" w:cs="Times New Roman"/>
          <w:sz w:val="21"/>
          <w:szCs w:val="21"/>
        </w:rPr>
      </w:pPr>
      <w:r>
        <w:rPr>
          <w:rFonts w:ascii="Times New Roman" w:hAnsi="Times New Roman" w:eastAsia="宋体" w:cs="Times New Roman"/>
          <w:sz w:val="21"/>
          <w:szCs w:val="21"/>
        </w:rPr>
        <w:t>表2-</w:t>
      </w:r>
      <w:r>
        <w:rPr>
          <w:rFonts w:hint="eastAsia" w:ascii="Times New Roman" w:hAnsi="Times New Roman" w:eastAsia="宋体" w:cs="Times New Roman"/>
          <w:sz w:val="21"/>
          <w:szCs w:val="21"/>
        </w:rPr>
        <w:t>5</w:t>
      </w:r>
      <w:r>
        <w:rPr>
          <w:rFonts w:ascii="Times New Roman" w:hAnsi="Times New Roman" w:eastAsia="宋体" w:cs="Times New Roman"/>
          <w:sz w:val="21"/>
          <w:szCs w:val="21"/>
        </w:rPr>
        <w:t xml:space="preserve"> 成片开发区域权属情况统计表</w:t>
      </w:r>
    </w:p>
    <w:p>
      <w:pPr>
        <w:ind w:firstLine="420"/>
        <w:jc w:val="right"/>
        <w:rPr>
          <w:rFonts w:ascii="Times New Roman" w:hAnsi="Times New Roman" w:eastAsia="宋体" w:cs="Times New Roman"/>
          <w:sz w:val="21"/>
          <w:szCs w:val="21"/>
        </w:rPr>
      </w:pPr>
      <w:r>
        <w:rPr>
          <w:rFonts w:ascii="Times New Roman" w:hAnsi="Times New Roman" w:eastAsia="宋体" w:cs="Times New Roman"/>
          <w:sz w:val="21"/>
          <w:szCs w:val="21"/>
        </w:rPr>
        <w:t>单位：公顷</w:t>
      </w:r>
    </w:p>
    <w:tbl>
      <w:tblPr>
        <w:tblStyle w:val="13"/>
        <w:tblW w:w="5000" w:type="pct"/>
        <w:tblInd w:w="0" w:type="dxa"/>
        <w:tblLayout w:type="autofit"/>
        <w:tblCellMar>
          <w:top w:w="0" w:type="dxa"/>
          <w:left w:w="108" w:type="dxa"/>
          <w:bottom w:w="0" w:type="dxa"/>
          <w:right w:w="108" w:type="dxa"/>
        </w:tblCellMar>
      </w:tblPr>
      <w:tblGrid>
        <w:gridCol w:w="1911"/>
        <w:gridCol w:w="1911"/>
        <w:gridCol w:w="3175"/>
        <w:gridCol w:w="1525"/>
      </w:tblGrid>
      <w:tr>
        <w:tblPrEx>
          <w:tblCellMar>
            <w:top w:w="0" w:type="dxa"/>
            <w:left w:w="108" w:type="dxa"/>
            <w:bottom w:w="0" w:type="dxa"/>
            <w:right w:w="108" w:type="dxa"/>
          </w:tblCellMar>
        </w:tblPrEx>
        <w:trPr>
          <w:trHeight w:val="285" w:hRule="atLeast"/>
        </w:trPr>
        <w:tc>
          <w:tcPr>
            <w:tcW w:w="112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地块编号</w:t>
            </w:r>
          </w:p>
        </w:tc>
        <w:tc>
          <w:tcPr>
            <w:tcW w:w="1121"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权属性质</w:t>
            </w:r>
          </w:p>
        </w:tc>
        <w:tc>
          <w:tcPr>
            <w:tcW w:w="1863"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权属名称</w:t>
            </w:r>
          </w:p>
        </w:tc>
        <w:tc>
          <w:tcPr>
            <w:tcW w:w="896"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面积</w:t>
            </w:r>
          </w:p>
        </w:tc>
      </w:tr>
      <w:tr>
        <w:tblPrEx>
          <w:tblCellMar>
            <w:top w:w="0" w:type="dxa"/>
            <w:left w:w="108" w:type="dxa"/>
            <w:bottom w:w="0" w:type="dxa"/>
            <w:right w:w="108" w:type="dxa"/>
          </w:tblCellMar>
        </w:tblPrEx>
        <w:trPr>
          <w:trHeight w:val="285" w:hRule="atLeast"/>
        </w:trPr>
        <w:tc>
          <w:tcPr>
            <w:tcW w:w="1121" w:type="pct"/>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DK-1</w:t>
            </w:r>
          </w:p>
        </w:tc>
        <w:tc>
          <w:tcPr>
            <w:tcW w:w="1121"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集体</w:t>
            </w:r>
          </w:p>
        </w:tc>
        <w:tc>
          <w:tcPr>
            <w:tcW w:w="1863"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碾盘乡新太河村</w:t>
            </w:r>
          </w:p>
        </w:tc>
        <w:tc>
          <w:tcPr>
            <w:tcW w:w="896"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0.8922</w:t>
            </w:r>
          </w:p>
        </w:tc>
      </w:tr>
      <w:tr>
        <w:tblPrEx>
          <w:tblCellMar>
            <w:top w:w="0" w:type="dxa"/>
            <w:left w:w="108" w:type="dxa"/>
            <w:bottom w:w="0" w:type="dxa"/>
            <w:right w:w="108" w:type="dxa"/>
          </w:tblCellMar>
        </w:tblPrEx>
        <w:trPr>
          <w:trHeight w:val="285" w:hRule="atLeast"/>
        </w:trPr>
        <w:tc>
          <w:tcPr>
            <w:tcW w:w="1121" w:type="pct"/>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DK-2</w:t>
            </w:r>
          </w:p>
        </w:tc>
        <w:tc>
          <w:tcPr>
            <w:tcW w:w="1121"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集体</w:t>
            </w:r>
          </w:p>
        </w:tc>
        <w:tc>
          <w:tcPr>
            <w:tcW w:w="1863" w:type="pct"/>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章党街道</w:t>
            </w:r>
            <w:r>
              <w:rPr>
                <w:rFonts w:hint="eastAsia" w:ascii="Times New Roman" w:hAnsi="Times New Roman" w:eastAsia="宋体" w:cs="Times New Roman"/>
                <w:color w:val="000000"/>
                <w:kern w:val="0"/>
                <w:sz w:val="21"/>
                <w:szCs w:val="21"/>
              </w:rPr>
              <w:t>章党汉族村</w:t>
            </w:r>
          </w:p>
        </w:tc>
        <w:tc>
          <w:tcPr>
            <w:tcW w:w="896" w:type="pct"/>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0.4054</w:t>
            </w:r>
          </w:p>
        </w:tc>
      </w:tr>
      <w:tr>
        <w:tblPrEx>
          <w:tblCellMar>
            <w:top w:w="0" w:type="dxa"/>
            <w:left w:w="108" w:type="dxa"/>
            <w:bottom w:w="0" w:type="dxa"/>
            <w:right w:w="108" w:type="dxa"/>
          </w:tblCellMar>
        </w:tblPrEx>
        <w:trPr>
          <w:trHeight w:val="285" w:hRule="atLeast"/>
        </w:trPr>
        <w:tc>
          <w:tcPr>
            <w:tcW w:w="4104" w:type="pct"/>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合计</w:t>
            </w:r>
          </w:p>
        </w:tc>
        <w:tc>
          <w:tcPr>
            <w:tcW w:w="896"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1.2976</w:t>
            </w:r>
          </w:p>
        </w:tc>
      </w:tr>
    </w:tbl>
    <w:p>
      <w:pPr>
        <w:pStyle w:val="3"/>
        <w:numPr>
          <w:ilvl w:val="1"/>
          <w:numId w:val="1"/>
        </w:numPr>
        <w:ind w:firstLineChars="0"/>
        <w:rPr>
          <w:rFonts w:ascii="Times New Roman" w:hAnsi="Times New Roman" w:eastAsia="宋体" w:cs="Times New Roman"/>
        </w:rPr>
      </w:pPr>
      <w:bookmarkStart w:id="10" w:name="_Toc150354718"/>
      <w:bookmarkStart w:id="11" w:name="_Toc140239546"/>
      <w:r>
        <w:rPr>
          <w:rFonts w:ascii="Times New Roman" w:hAnsi="Times New Roman" w:eastAsia="宋体" w:cs="Times New Roman"/>
        </w:rPr>
        <w:t>基础设施条件</w:t>
      </w:r>
      <w:bookmarkEnd w:id="10"/>
      <w:bookmarkEnd w:id="11"/>
    </w:p>
    <w:p>
      <w:pPr>
        <w:rPr>
          <w:rFonts w:ascii="Times New Roman" w:hAnsi="Times New Roman" w:cs="Times New Roman"/>
        </w:rPr>
      </w:pPr>
      <w:r>
        <w:rPr>
          <w:rFonts w:hint="eastAsia" w:ascii="Times New Roman" w:hAnsi="Times New Roman" w:cs="Times New Roman"/>
        </w:rPr>
        <w:t>交通条件。片区周边为新太西街、绥化路等城市交通和詹白线和辽中环等，联通内外的交通网络体系发达。距东洲中心区约4公里，距沈吉高速章党出入口约5公里，距离人民政府约12公里。</w:t>
      </w:r>
    </w:p>
    <w:p>
      <w:pPr>
        <w:rPr>
          <w:rFonts w:ascii="Times New Roman" w:hAnsi="Times New Roman" w:cs="Times New Roman"/>
        </w:rPr>
      </w:pPr>
      <w:r>
        <w:rPr>
          <w:rFonts w:hint="eastAsia" w:ascii="Times New Roman" w:hAnsi="Times New Roman" w:cs="Times New Roman"/>
        </w:rPr>
        <w:t>市政基础：天湖啤酒厂现状厂址内有污水处理池和变电站，其余基础设施主要依托现状市政。加油站项目供水由绥化路北侧现状DN300给水管线接入规划区；排水规划采用雨污分流制，污水排入绥化路南侧现状污水管中，雨水排入绥化路北侧现状雨水管中；供电由新太西街西侧现状10KV架空电力管线接入规划区规划箱式变电站，变压后供各建筑；供热采取电采暖；弱电由新太西街西侧现状弱电管线接入规划区。</w:t>
      </w:r>
    </w:p>
    <w:p>
      <w:pPr>
        <w:rPr>
          <w:rFonts w:ascii="Times New Roman" w:hAnsi="Times New Roman" w:cs="Times New Roman"/>
        </w:rPr>
        <w:sectPr>
          <w:pgSz w:w="11906" w:h="16838"/>
          <w:pgMar w:top="1440" w:right="1800" w:bottom="1440" w:left="1800" w:header="851" w:footer="992" w:gutter="0"/>
          <w:cols w:space="425" w:num="1"/>
          <w:docGrid w:type="lines" w:linePitch="381" w:charSpace="0"/>
        </w:sectPr>
      </w:pPr>
    </w:p>
    <w:p>
      <w:pPr>
        <w:pStyle w:val="2"/>
        <w:rPr>
          <w:rFonts w:ascii="Times New Roman" w:hAnsi="Times New Roman" w:eastAsia="宋体" w:cs="Times New Roman"/>
        </w:rPr>
      </w:pPr>
      <w:bookmarkStart w:id="12" w:name="_Toc150354719"/>
      <w:r>
        <w:rPr>
          <w:rFonts w:ascii="Times New Roman" w:hAnsi="Times New Roman" w:eastAsia="宋体" w:cs="Times New Roman"/>
        </w:rPr>
        <w:t>成片开发的合规性、必要性及公益性</w:t>
      </w:r>
      <w:bookmarkEnd w:id="12"/>
      <w:r>
        <w:rPr>
          <w:rFonts w:ascii="Times New Roman" w:hAnsi="Times New Roman" w:eastAsia="宋体" w:cs="Times New Roman"/>
        </w:rPr>
        <w:t xml:space="preserve"> </w:t>
      </w:r>
    </w:p>
    <w:p>
      <w:pPr>
        <w:pStyle w:val="3"/>
        <w:numPr>
          <w:ilvl w:val="1"/>
          <w:numId w:val="2"/>
        </w:numPr>
        <w:ind w:firstLineChars="0"/>
        <w:rPr>
          <w:rFonts w:ascii="Times New Roman" w:hAnsi="Times New Roman" w:eastAsia="宋体" w:cs="Times New Roman"/>
        </w:rPr>
      </w:pPr>
      <w:bookmarkStart w:id="13" w:name="_Toc150354720"/>
      <w:r>
        <w:rPr>
          <w:rFonts w:ascii="Times New Roman" w:hAnsi="Times New Roman" w:eastAsia="宋体" w:cs="Times New Roman"/>
        </w:rPr>
        <w:t>合法性分析</w:t>
      </w:r>
      <w:bookmarkEnd w:id="13"/>
    </w:p>
    <w:p>
      <w:pPr>
        <w:rPr>
          <w:rFonts w:ascii="Times New Roman" w:hAnsi="Times New Roman" w:eastAsia="宋体" w:cs="Times New Roman"/>
        </w:rPr>
      </w:pPr>
      <w:r>
        <w:rPr>
          <w:rFonts w:ascii="Times New Roman" w:hAnsi="Times New Roman" w:eastAsia="宋体" w:cs="Times New Roman"/>
        </w:rPr>
        <w:t>本方案的编制符合《中华人民共和国土地管理法》第45 条规定，符合自然资源部关于印发《土地征收成片开发标准的通知（自然资规[202</w:t>
      </w:r>
      <w:r>
        <w:rPr>
          <w:rFonts w:hint="eastAsia" w:ascii="Times New Roman" w:hAnsi="Times New Roman" w:eastAsia="宋体" w:cs="Times New Roman"/>
        </w:rPr>
        <w:t>3</w:t>
      </w:r>
      <w:r>
        <w:rPr>
          <w:rFonts w:ascii="Times New Roman" w:hAnsi="Times New Roman" w:eastAsia="宋体" w:cs="Times New Roman"/>
        </w:rPr>
        <w:t>]</w:t>
      </w:r>
      <w:r>
        <w:rPr>
          <w:rFonts w:hint="eastAsia" w:ascii="Times New Roman" w:hAnsi="Times New Roman" w:eastAsia="宋体" w:cs="Times New Roman"/>
        </w:rPr>
        <w:t>7</w:t>
      </w:r>
      <w:r>
        <w:rPr>
          <w:rFonts w:ascii="Times New Roman" w:hAnsi="Times New Roman" w:eastAsia="宋体" w:cs="Times New Roman"/>
        </w:rPr>
        <w:t>号），符合辽宁省自然资源厅下发的《关于做好土地征收成片开发工作的通知》（辽自然资发[2021]68号），同时符合抚顺市用地现状和发展需求。</w:t>
      </w:r>
    </w:p>
    <w:p>
      <w:pPr>
        <w:pStyle w:val="3"/>
        <w:numPr>
          <w:ilvl w:val="1"/>
          <w:numId w:val="2"/>
        </w:numPr>
        <w:ind w:firstLineChars="0"/>
        <w:rPr>
          <w:rFonts w:ascii="Times New Roman" w:hAnsi="Times New Roman" w:eastAsia="宋体" w:cs="Times New Roman"/>
        </w:rPr>
      </w:pPr>
      <w:bookmarkStart w:id="14" w:name="_Toc150354721"/>
      <w:bookmarkStart w:id="15" w:name="_Hlk142058738"/>
      <w:r>
        <w:rPr>
          <w:rFonts w:ascii="Times New Roman" w:hAnsi="Times New Roman" w:eastAsia="宋体" w:cs="Times New Roman"/>
        </w:rPr>
        <w:t>合规性分析</w:t>
      </w:r>
      <w:bookmarkEnd w:id="14"/>
    </w:p>
    <w:bookmarkEnd w:id="15"/>
    <w:p>
      <w:pPr>
        <w:rPr>
          <w:rFonts w:ascii="Times New Roman" w:hAnsi="Times New Roman" w:eastAsia="宋体" w:cs="Times New Roman"/>
        </w:rPr>
      </w:pPr>
      <w:r>
        <w:rPr>
          <w:rFonts w:ascii="Times New Roman" w:hAnsi="Times New Roman" w:eastAsia="宋体" w:cs="Times New Roman"/>
        </w:rPr>
        <w:t>3.2.1与国民经济和社会发展规划的符合性分析</w:t>
      </w:r>
    </w:p>
    <w:p>
      <w:pPr>
        <w:rPr>
          <w:rFonts w:ascii="Times New Roman" w:hAnsi="Times New Roman" w:eastAsia="宋体" w:cs="Times New Roman"/>
        </w:rPr>
      </w:pPr>
      <w:r>
        <w:rPr>
          <w:rFonts w:ascii="Times New Roman" w:hAnsi="Times New Roman" w:eastAsia="宋体" w:cs="Times New Roman"/>
        </w:rPr>
        <w:t>《抚顺市东洲区国民经济和社会发展第十四个五年规划纲要和2035年远景目标》</w:t>
      </w:r>
      <w:r>
        <w:rPr>
          <w:rFonts w:hint="eastAsia" w:ascii="Times New Roman" w:hAnsi="Times New Roman" w:eastAsia="宋体" w:cs="Times New Roman"/>
        </w:rPr>
        <w:t>（以下简称东洲区“十四五”规划）</w:t>
      </w:r>
      <w:r>
        <w:rPr>
          <w:rFonts w:ascii="Times New Roman" w:hAnsi="Times New Roman" w:eastAsia="宋体" w:cs="Times New Roman"/>
        </w:rPr>
        <w:t>提出</w:t>
      </w:r>
      <w:r>
        <w:rPr>
          <w:rFonts w:hint="eastAsia" w:ascii="Times New Roman" w:hAnsi="Times New Roman" w:eastAsia="宋体" w:cs="Times New Roman"/>
        </w:rPr>
        <w:t>构建现代化服务业体系，做大新型服务业。利用现代化信息技术，培育壮大消费新增长点，推动消费结构升级，充分发挥天湖啤酒品牌效应，立足产业、资源、产品、环境，建设“产业本身+产业应用+产业服务”的全产业连啤酒小镇。区域应主动融入“双循环”发展新格局，加快“两新一重”建设，补齐消费领域基础设施短板，提升供应链供给水平</w:t>
      </w:r>
      <w:r>
        <w:rPr>
          <w:rFonts w:ascii="Times New Roman" w:hAnsi="Times New Roman" w:eastAsia="宋体" w:cs="Times New Roman"/>
        </w:rPr>
        <w:t>。</w:t>
      </w:r>
    </w:p>
    <w:p>
      <w:pPr>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成片开发方案的编制，正是在</w:t>
      </w:r>
      <w:r>
        <w:rPr>
          <w:rFonts w:hint="eastAsia" w:ascii="Times New Roman" w:hAnsi="Times New Roman" w:eastAsia="宋体" w:cs="Times New Roman"/>
        </w:rPr>
        <w:t>东洲区“十四五”规划</w:t>
      </w:r>
      <w:r>
        <w:rPr>
          <w:rFonts w:ascii="Times New Roman" w:hAnsi="Times New Roman" w:eastAsia="宋体" w:cs="Times New Roman"/>
          <w:color w:val="000000" w:themeColor="text1"/>
          <w14:textFill>
            <w14:solidFill>
              <w14:schemeClr w14:val="tx1"/>
            </w14:solidFill>
          </w14:textFill>
        </w:rPr>
        <w:t>的框架下提出的城市开发建设迫切需要的着力点，符合当地城市发展需要。本次成片开发方案涉及项目纳入当地国民经济和社会发展年度计划，并报市级人民政府批准，报省级人民政府备案。</w:t>
      </w:r>
    </w:p>
    <w:p>
      <w:pPr>
        <w:rPr>
          <w:rFonts w:ascii="Times New Roman" w:hAnsi="Times New Roman" w:eastAsia="宋体" w:cs="Times New Roman"/>
        </w:rPr>
      </w:pPr>
      <w:r>
        <w:rPr>
          <w:rFonts w:ascii="Times New Roman" w:hAnsi="Times New Roman" w:eastAsia="宋体" w:cs="Times New Roman"/>
        </w:rPr>
        <w:t>3.2.2与国土空间规划的符合性分析</w:t>
      </w:r>
    </w:p>
    <w:p>
      <w:pPr>
        <w:rPr>
          <w:rFonts w:ascii="Times New Roman" w:hAnsi="Times New Roman" w:eastAsia="宋体" w:cs="Times New Roman"/>
        </w:rPr>
      </w:pPr>
      <w:r>
        <w:rPr>
          <w:rFonts w:hint="eastAsia" w:ascii="Times New Roman" w:hAnsi="Times New Roman" w:eastAsia="宋体" w:cs="Times New Roman"/>
        </w:rPr>
        <w:t>根据国家和省要求，抚顺市人民政府正组织编制《抚顺市国土空间总体规划（2021—2035 年）》，“三区三线”成果已审批下发。</w:t>
      </w:r>
      <w:r>
        <w:rPr>
          <w:rFonts w:ascii="Times New Roman" w:hAnsi="Times New Roman" w:eastAsia="宋体" w:cs="Times New Roman"/>
        </w:rPr>
        <w:t>本方案涉及的拟建设项目全部位于城镇开发边界的集中建设区内，项目的建设和符合规划的主体功能定位，空间发展目标的要求，符合正在编制的国土空间规划。经与国土空间规划初步成果叠加分析，项目用地不涉及占用生态保护红线、永久基本农田；对生态屏障、生态廊道和生态系统保护格局、自然保护体系没有影响；对城镇政策性住房和教育、卫生、养老、文化体育等城乡公共服务设施布局、重大交通枢纽、重要线性工程网络、城市安全与综合防灾体系、地下空间、邻避设施等设施布局没有影响。因此，项目的建设未突破国土空间规划的强制性内容。具体见附</w:t>
      </w:r>
      <w:r>
        <w:rPr>
          <w:rFonts w:hint="eastAsia" w:ascii="Times New Roman" w:hAnsi="Times New Roman" w:eastAsia="宋体" w:cs="Times New Roman"/>
        </w:rPr>
        <w:t>图</w:t>
      </w:r>
      <w:r>
        <w:rPr>
          <w:rFonts w:ascii="Times New Roman" w:hAnsi="Times New Roman" w:eastAsia="宋体" w:cs="Times New Roman"/>
        </w:rPr>
        <w:t>《土地征收成片开发范围与国土空间控制线衔接图》。</w:t>
      </w:r>
    </w:p>
    <w:p>
      <w:pPr>
        <w:rPr>
          <w:rFonts w:ascii="Times New Roman" w:hAnsi="Times New Roman" w:eastAsia="宋体" w:cs="Times New Roman"/>
        </w:rPr>
      </w:pPr>
      <w:r>
        <w:rPr>
          <w:rFonts w:ascii="Times New Roman" w:hAnsi="Times New Roman" w:eastAsia="宋体" w:cs="Times New Roman"/>
        </w:rPr>
        <w:t>3.2.</w:t>
      </w:r>
      <w:r>
        <w:rPr>
          <w:rFonts w:hint="eastAsia" w:ascii="Times New Roman" w:hAnsi="Times New Roman" w:eastAsia="宋体" w:cs="Times New Roman"/>
        </w:rPr>
        <w:t>3符合生态环境分区管控情况</w:t>
      </w:r>
    </w:p>
    <w:p>
      <w:pPr>
        <w:rPr>
          <w:rFonts w:ascii="Times New Roman" w:hAnsi="Times New Roman" w:eastAsia="宋体" w:cs="Times New Roman"/>
        </w:rPr>
      </w:pPr>
      <w:r>
        <w:rPr>
          <w:rFonts w:hint="eastAsia" w:ascii="Times New Roman" w:hAnsi="Times New Roman" w:eastAsia="宋体" w:cs="Times New Roman"/>
        </w:rPr>
        <w:t>经与抚顺市生态环境分区成果套合比对，成片开发片区注重了与 “三线一单”生态环境分区管控的充分衔接，避让了优先保护单元，符合生态优先和落实生态保护红线、环境质量底线、资源利用上线硬约束条件，有利于推动形成绿色发展方式和生活方式，降低生态环境风险。</w:t>
      </w:r>
    </w:p>
    <w:p>
      <w:pPr>
        <w:rPr>
          <w:rFonts w:ascii="Times New Roman" w:hAnsi="Times New Roman" w:eastAsia="宋体" w:cs="Times New Roman"/>
        </w:rPr>
      </w:pPr>
      <w:r>
        <w:rPr>
          <w:rFonts w:ascii="Times New Roman" w:hAnsi="Times New Roman" w:eastAsia="宋体" w:cs="Times New Roman"/>
        </w:rPr>
        <w:t>3.2.3与国家产业政策的符合性分析</w:t>
      </w:r>
    </w:p>
    <w:p>
      <w:pPr>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绿色食品产业“十四五”发展规划纲要（2021-2035年</w:t>
      </w:r>
      <w:r>
        <w:rPr>
          <w:rFonts w:ascii="Times New Roman" w:hAnsi="Times New Roman" w:eastAsia="宋体" w:cs="Times New Roman"/>
        </w:rPr>
        <w:t>》</w:t>
      </w:r>
      <w:r>
        <w:rPr>
          <w:rFonts w:hint="eastAsia" w:ascii="Times New Roman" w:hAnsi="Times New Roman" w:eastAsia="宋体" w:cs="Times New Roman"/>
        </w:rPr>
        <w:t>提出提高绿色食品产业发展水平，优化产品结构，积极发展果酒等深加工产品，积极引导发展地方特色产品。</w:t>
      </w:r>
      <w:r>
        <w:rPr>
          <w:rFonts w:hint="eastAsia" w:ascii="Times New Roman"/>
          <w:szCs w:val="28"/>
        </w:rPr>
        <w:t>《中国酒业“十四五”发展指导意见》支持发展</w:t>
      </w:r>
      <w:r>
        <w:rPr>
          <w:rFonts w:hint="eastAsia" w:ascii="Times New Roman" w:hAnsi="Times New Roman" w:eastAsia="宋体" w:cs="Times New Roman"/>
        </w:rPr>
        <w:t>果酒等深加工产品</w:t>
      </w:r>
      <w:r>
        <w:rPr>
          <w:rFonts w:ascii="Times New Roman" w:hAnsi="Times New Roman" w:eastAsia="宋体" w:cs="Times New Roman"/>
        </w:rPr>
        <w:t>。本方案</w:t>
      </w:r>
      <w:r>
        <w:rPr>
          <w:rFonts w:hint="eastAsia" w:ascii="Times New Roman" w:hAnsi="Times New Roman" w:eastAsia="宋体" w:cs="Times New Roman"/>
        </w:rPr>
        <w:t>涉及项目属于《产业结构调整指导目录（2019年本）》允许投资产业目录中的国内投资项目，且</w:t>
      </w:r>
      <w:r>
        <w:rPr>
          <w:rFonts w:ascii="Times New Roman" w:hAnsi="Times New Roman" w:eastAsia="宋体" w:cs="Times New Roman"/>
        </w:rPr>
        <w:t>不在国家发改委下发的《市场准入负面清单》禁止事项范围内。</w:t>
      </w:r>
    </w:p>
    <w:p>
      <w:pPr>
        <w:pStyle w:val="3"/>
        <w:numPr>
          <w:ilvl w:val="1"/>
          <w:numId w:val="2"/>
        </w:numPr>
        <w:ind w:firstLineChars="0"/>
        <w:rPr>
          <w:rFonts w:ascii="Times New Roman" w:hAnsi="Times New Roman" w:eastAsia="宋体" w:cs="Times New Roman"/>
        </w:rPr>
      </w:pPr>
      <w:bookmarkStart w:id="16" w:name="_Toc150354722"/>
      <w:r>
        <w:rPr>
          <w:rFonts w:ascii="Times New Roman" w:hAnsi="Times New Roman" w:eastAsia="宋体" w:cs="Times New Roman"/>
        </w:rPr>
        <w:t>必要性分析</w:t>
      </w:r>
      <w:bookmarkEnd w:id="16"/>
    </w:p>
    <w:p>
      <w:pPr>
        <w:rPr>
          <w:rFonts w:ascii="Times New Roman" w:hAnsi="Times New Roman" w:eastAsia="宋体" w:cs="Times New Roman"/>
        </w:rPr>
      </w:pPr>
      <w:r>
        <w:rPr>
          <w:rFonts w:hint="eastAsia" w:ascii="Times New Roman" w:hAnsi="Times New Roman" w:eastAsia="宋体" w:cs="Times New Roman"/>
        </w:rPr>
        <w:t>落实中央相关产业部署要求。《绿色食品产业“十四五”发展规划纲要（2021-2035年》明确发展绿色食品时贯彻落实中央部署，深化农业供给侧结构性改革的必要性。东洲区按照“稳增量、优结构、强主体、增效益”的要求，立足大伙房水库优质水源，通过支持天湖啤酒扩能升级，落实标准化生产，打造全产业链啤酒小镇。方案的实施有助于优化区域产业结构，不断满足人民对绿色优质农产品的消费需求。</w:t>
      </w:r>
    </w:p>
    <w:p>
      <w:pPr>
        <w:rPr>
          <w:rFonts w:ascii="Times New Roman" w:hAnsi="Times New Roman" w:eastAsia="宋体" w:cs="Times New Roman"/>
        </w:rPr>
      </w:pPr>
      <w:r>
        <w:rPr>
          <w:rFonts w:hint="eastAsia" w:ascii="Times New Roman" w:hAnsi="Times New Roman" w:eastAsia="宋体" w:cs="Times New Roman"/>
        </w:rPr>
        <w:t>完善城市交通的基础服务设施</w:t>
      </w:r>
      <w:r>
        <w:rPr>
          <w:rFonts w:ascii="Times New Roman" w:hAnsi="Times New Roman" w:eastAsia="宋体" w:cs="Times New Roman"/>
        </w:rPr>
        <w:t>。</w:t>
      </w:r>
      <w:r>
        <w:rPr>
          <w:rFonts w:hint="eastAsia" w:ascii="Times New Roman" w:hAnsi="Times New Roman" w:eastAsia="宋体" w:cs="Times New Roman"/>
        </w:rPr>
        <w:t>随着区域经济快速发展，机动车数量持续快速增长，人民对城市交通相应的基础服务设施如公用设施营业网点等需求日趋强烈。东洲区为合理完善路网，需重新布局部分城市交通基础服务设施的空间位置。方案的实施将完善成品油零售体系，改善区域基础服务设施，满足社会和市场对基础设施日益增长的服务需求</w:t>
      </w:r>
      <w:r>
        <w:rPr>
          <w:rFonts w:ascii="Times New Roman" w:hAnsi="Times New Roman" w:eastAsia="宋体" w:cs="Times New Roman"/>
        </w:rPr>
        <w:t>。</w:t>
      </w:r>
    </w:p>
    <w:p>
      <w:pPr>
        <w:pStyle w:val="3"/>
        <w:numPr>
          <w:ilvl w:val="1"/>
          <w:numId w:val="1"/>
        </w:numPr>
        <w:ind w:firstLineChars="0"/>
        <w:rPr>
          <w:rFonts w:ascii="Times New Roman" w:hAnsi="Times New Roman" w:eastAsia="宋体" w:cs="Times New Roman"/>
        </w:rPr>
      </w:pPr>
      <w:bookmarkStart w:id="17" w:name="_Toc150354723"/>
      <w:r>
        <w:rPr>
          <w:rFonts w:ascii="Times New Roman" w:hAnsi="Times New Roman" w:eastAsia="宋体" w:cs="Times New Roman"/>
        </w:rPr>
        <w:t>公益性分析</w:t>
      </w:r>
      <w:bookmarkEnd w:id="17"/>
    </w:p>
    <w:p>
      <w:pPr>
        <w:rPr>
          <w:rFonts w:ascii="Times New Roman" w:hAnsi="Times New Roman" w:eastAsia="宋体" w:cs="Times New Roman"/>
        </w:rPr>
      </w:pPr>
      <w:r>
        <w:rPr>
          <w:rFonts w:hint="eastAsia" w:ascii="Times New Roman" w:hAnsi="Times New Roman" w:eastAsia="宋体" w:cs="Times New Roman"/>
        </w:rPr>
        <w:t>公益性用地是指基础设施、公共服务设施及其他公益性用地。根据《国土空间调查、规划、用途管制用地用海分类指南（试行）》，公益性用地具体包括公共管理与公共服务用地、交通运输用地、公用设施用地、绿地与开敞空间用地、特殊用地及城镇社区服务设施用地、公用设施营业网点用地、储备库用地等其他公益性用地。</w:t>
      </w:r>
    </w:p>
    <w:p>
      <w:pPr>
        <w:rPr>
          <w:rFonts w:ascii="Times New Roman" w:hAnsi="Times New Roman" w:eastAsia="宋体" w:cs="Times New Roman"/>
        </w:rPr>
      </w:pPr>
      <w:r>
        <w:rPr>
          <w:rFonts w:ascii="Times New Roman" w:hAnsi="Times New Roman" w:eastAsia="宋体" w:cs="Times New Roman"/>
        </w:rPr>
        <w:t>本次成片开发</w:t>
      </w:r>
      <w:r>
        <w:rPr>
          <w:rFonts w:hint="eastAsia" w:ascii="Times New Roman" w:hAnsi="Times New Roman" w:eastAsia="宋体" w:cs="Times New Roman"/>
        </w:rPr>
        <w:t>总面积 8.1578 公顷，其中公益性用地面积1.4344公顷，包括现状公路和规划公用设施营业网点用地，站片区总面积的17.58%。</w:t>
      </w:r>
      <w:r>
        <w:rPr>
          <w:rFonts w:ascii="Times New Roman" w:hAnsi="Times New Roman" w:eastAsia="宋体" w:cs="Times New Roman"/>
        </w:rPr>
        <w:t>具体详见下表。</w:t>
      </w:r>
    </w:p>
    <w:p>
      <w:pPr>
        <w:ind w:firstLine="420"/>
        <w:jc w:val="center"/>
        <w:rPr>
          <w:rFonts w:ascii="Times New Roman" w:hAnsi="Times New Roman" w:eastAsia="宋体" w:cs="Times New Roman"/>
          <w:sz w:val="21"/>
          <w:szCs w:val="21"/>
        </w:rPr>
      </w:pPr>
      <w:r>
        <w:rPr>
          <w:rFonts w:ascii="Times New Roman" w:hAnsi="Times New Roman" w:eastAsia="宋体" w:cs="Times New Roman"/>
          <w:sz w:val="21"/>
          <w:szCs w:val="21"/>
        </w:rPr>
        <w:t>表3-1 方案实施后公益性用地情况表</w:t>
      </w:r>
    </w:p>
    <w:p>
      <w:pPr>
        <w:ind w:firstLine="420"/>
        <w:jc w:val="right"/>
        <w:rPr>
          <w:rFonts w:ascii="Times New Roman" w:hAnsi="Times New Roman" w:eastAsia="宋体" w:cs="Times New Roman"/>
          <w:sz w:val="21"/>
          <w:szCs w:val="21"/>
        </w:rPr>
      </w:pPr>
      <w:r>
        <w:rPr>
          <w:rFonts w:ascii="Times New Roman" w:hAnsi="Times New Roman" w:eastAsia="宋体" w:cs="Times New Roman"/>
          <w:sz w:val="21"/>
          <w:szCs w:val="21"/>
        </w:rPr>
        <w:t>单位：公顷</w:t>
      </w:r>
    </w:p>
    <w:tbl>
      <w:tblPr>
        <w:tblStyle w:val="13"/>
        <w:tblW w:w="5000" w:type="pct"/>
        <w:tblInd w:w="0" w:type="dxa"/>
        <w:tblLayout w:type="autofit"/>
        <w:tblCellMar>
          <w:top w:w="0" w:type="dxa"/>
          <w:left w:w="108" w:type="dxa"/>
          <w:bottom w:w="0" w:type="dxa"/>
          <w:right w:w="108" w:type="dxa"/>
        </w:tblCellMar>
      </w:tblPr>
      <w:tblGrid>
        <w:gridCol w:w="3419"/>
        <w:gridCol w:w="2599"/>
        <w:gridCol w:w="2504"/>
      </w:tblGrid>
      <w:tr>
        <w:tblPrEx>
          <w:tblCellMar>
            <w:top w:w="0" w:type="dxa"/>
            <w:left w:w="108" w:type="dxa"/>
            <w:bottom w:w="0" w:type="dxa"/>
            <w:right w:w="108" w:type="dxa"/>
          </w:tblCellMar>
        </w:tblPrEx>
        <w:trPr>
          <w:trHeight w:val="300" w:hRule="atLeast"/>
        </w:trPr>
        <w:tc>
          <w:tcPr>
            <w:tcW w:w="3531" w:type="pct"/>
            <w:gridSpan w:val="2"/>
            <w:tcBorders>
              <w:top w:val="single" w:color="auto" w:sz="8" w:space="0"/>
              <w:left w:val="single" w:color="auto" w:sz="8" w:space="0"/>
              <w:bottom w:val="single" w:color="auto" w:sz="8" w:space="0"/>
              <w:right w:val="single" w:color="000000" w:sz="8"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用途</w:t>
            </w:r>
          </w:p>
        </w:tc>
        <w:tc>
          <w:tcPr>
            <w:tcW w:w="1469" w:type="pct"/>
            <w:tcBorders>
              <w:top w:val="single" w:color="auto" w:sz="8" w:space="0"/>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面积</w:t>
            </w:r>
          </w:p>
        </w:tc>
      </w:tr>
      <w:tr>
        <w:tblPrEx>
          <w:tblCellMar>
            <w:top w:w="0" w:type="dxa"/>
            <w:left w:w="108" w:type="dxa"/>
            <w:bottom w:w="0" w:type="dxa"/>
            <w:right w:w="108" w:type="dxa"/>
          </w:tblCellMar>
        </w:tblPrEx>
        <w:trPr>
          <w:trHeight w:val="300" w:hRule="atLeast"/>
        </w:trPr>
        <w:tc>
          <w:tcPr>
            <w:tcW w:w="2006" w:type="pct"/>
            <w:vMerge w:val="restart"/>
            <w:tcBorders>
              <w:top w:val="nil"/>
              <w:left w:val="single" w:color="auto" w:sz="8" w:space="0"/>
              <w:bottom w:val="single" w:color="000000"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现状公益性用地</w:t>
            </w:r>
          </w:p>
        </w:tc>
        <w:tc>
          <w:tcPr>
            <w:tcW w:w="1525"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公路用地</w:t>
            </w:r>
          </w:p>
        </w:tc>
        <w:tc>
          <w:tcPr>
            <w:tcW w:w="1469" w:type="pct"/>
            <w:tcBorders>
              <w:top w:val="nil"/>
              <w:left w:val="nil"/>
              <w:bottom w:val="single" w:color="auto" w:sz="8" w:space="0"/>
              <w:right w:val="single" w:color="auto" w:sz="8"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0.5422</w:t>
            </w:r>
          </w:p>
        </w:tc>
      </w:tr>
      <w:tr>
        <w:tblPrEx>
          <w:tblCellMar>
            <w:top w:w="0" w:type="dxa"/>
            <w:left w:w="108" w:type="dxa"/>
            <w:bottom w:w="0" w:type="dxa"/>
            <w:right w:w="108" w:type="dxa"/>
          </w:tblCellMar>
        </w:tblPrEx>
        <w:trPr>
          <w:trHeight w:val="300" w:hRule="atLeast"/>
        </w:trPr>
        <w:tc>
          <w:tcPr>
            <w:tcW w:w="2006" w:type="pct"/>
            <w:vMerge w:val="continue"/>
            <w:tcBorders>
              <w:top w:val="nil"/>
              <w:left w:val="single" w:color="auto" w:sz="8" w:space="0"/>
              <w:bottom w:val="single" w:color="000000" w:sz="8" w:space="0"/>
              <w:right w:val="single" w:color="auto" w:sz="8"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1525"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小计</w:t>
            </w:r>
          </w:p>
        </w:tc>
        <w:tc>
          <w:tcPr>
            <w:tcW w:w="1469" w:type="pct"/>
            <w:tcBorders>
              <w:top w:val="nil"/>
              <w:left w:val="nil"/>
              <w:bottom w:val="single" w:color="auto" w:sz="8" w:space="0"/>
              <w:right w:val="single" w:color="auto" w:sz="8"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0.5422</w:t>
            </w:r>
          </w:p>
        </w:tc>
      </w:tr>
      <w:tr>
        <w:tblPrEx>
          <w:tblCellMar>
            <w:top w:w="0" w:type="dxa"/>
            <w:left w:w="108" w:type="dxa"/>
            <w:bottom w:w="0" w:type="dxa"/>
            <w:right w:w="108" w:type="dxa"/>
          </w:tblCellMar>
        </w:tblPrEx>
        <w:trPr>
          <w:trHeight w:val="300" w:hRule="atLeast"/>
        </w:trPr>
        <w:tc>
          <w:tcPr>
            <w:tcW w:w="2006" w:type="pct"/>
            <w:vMerge w:val="restart"/>
            <w:tcBorders>
              <w:top w:val="nil"/>
              <w:left w:val="single" w:color="auto" w:sz="8" w:space="0"/>
              <w:bottom w:val="single" w:color="000000"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规划新增公益性用地</w:t>
            </w:r>
          </w:p>
        </w:tc>
        <w:tc>
          <w:tcPr>
            <w:tcW w:w="1525"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公用设施营业网点用地</w:t>
            </w:r>
          </w:p>
        </w:tc>
        <w:tc>
          <w:tcPr>
            <w:tcW w:w="146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0.8922</w:t>
            </w:r>
          </w:p>
        </w:tc>
      </w:tr>
      <w:tr>
        <w:tblPrEx>
          <w:tblCellMar>
            <w:top w:w="0" w:type="dxa"/>
            <w:left w:w="108" w:type="dxa"/>
            <w:bottom w:w="0" w:type="dxa"/>
            <w:right w:w="108" w:type="dxa"/>
          </w:tblCellMar>
        </w:tblPrEx>
        <w:trPr>
          <w:trHeight w:val="300" w:hRule="atLeast"/>
        </w:trPr>
        <w:tc>
          <w:tcPr>
            <w:tcW w:w="2006" w:type="pct"/>
            <w:vMerge w:val="continue"/>
            <w:tcBorders>
              <w:top w:val="nil"/>
              <w:left w:val="single" w:color="auto" w:sz="8" w:space="0"/>
              <w:bottom w:val="single" w:color="000000" w:sz="8" w:space="0"/>
              <w:right w:val="single" w:color="auto" w:sz="8"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1525"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小计</w:t>
            </w:r>
          </w:p>
        </w:tc>
        <w:tc>
          <w:tcPr>
            <w:tcW w:w="146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0.8922</w:t>
            </w:r>
          </w:p>
        </w:tc>
      </w:tr>
      <w:tr>
        <w:tblPrEx>
          <w:tblCellMar>
            <w:top w:w="0" w:type="dxa"/>
            <w:left w:w="108" w:type="dxa"/>
            <w:bottom w:w="0" w:type="dxa"/>
            <w:right w:w="108" w:type="dxa"/>
          </w:tblCellMar>
        </w:tblPrEx>
        <w:trPr>
          <w:trHeight w:val="300" w:hRule="atLeast"/>
        </w:trPr>
        <w:tc>
          <w:tcPr>
            <w:tcW w:w="3531" w:type="pct"/>
            <w:gridSpan w:val="2"/>
            <w:tcBorders>
              <w:top w:val="single" w:color="auto" w:sz="8" w:space="0"/>
              <w:left w:val="single" w:color="auto" w:sz="8" w:space="0"/>
              <w:bottom w:val="single" w:color="auto" w:sz="8" w:space="0"/>
              <w:right w:val="single" w:color="000000"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合计</w:t>
            </w:r>
          </w:p>
        </w:tc>
        <w:tc>
          <w:tcPr>
            <w:tcW w:w="1469"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1.4344</w:t>
            </w:r>
          </w:p>
        </w:tc>
      </w:tr>
    </w:tbl>
    <w:p>
      <w:pPr>
        <w:rPr>
          <w:rFonts w:ascii="Times New Roman" w:hAnsi="Times New Roman" w:eastAsia="宋体" w:cs="Times New Roman"/>
        </w:rPr>
      </w:pPr>
    </w:p>
    <w:p>
      <w:pPr>
        <w:jc w:val="center"/>
        <w:rPr>
          <w:rFonts w:ascii="Times New Roman" w:hAnsi="Times New Roman" w:cs="Times New Roman"/>
        </w:rPr>
      </w:pPr>
    </w:p>
    <w:p>
      <w:pPr>
        <w:jc w:val="center"/>
        <w:rPr>
          <w:rFonts w:ascii="Times New Roman" w:hAnsi="Times New Roman" w:eastAsia="宋体" w:cs="Times New Roman"/>
          <w:sz w:val="21"/>
          <w:szCs w:val="21"/>
          <w14:textOutline w14:w="9525" w14:cap="rnd" w14:cmpd="sng" w14:algn="ctr">
            <w14:solidFill>
              <w14:schemeClr w14:val="tx1"/>
            </w14:solidFill>
            <w14:prstDash w14:val="solid"/>
            <w14:bevel/>
          </w14:textOutline>
        </w:rPr>
      </w:pPr>
      <w:r>
        <w:rPr>
          <w:rFonts w:ascii="Times New Roman" w:hAnsi="Times New Roman" w:cs="Times New Roman"/>
        </w:rPr>
        <w:drawing>
          <wp:inline distT="0" distB="0" distL="0" distR="0">
            <wp:extent cx="3881755" cy="5487670"/>
            <wp:effectExtent l="19050" t="19050" r="23495" b="17780"/>
            <wp:docPr id="41" name="图片 4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true" noChangeArrowheads="true"/>
                    </pic:cNvPicPr>
                  </pic:nvPicPr>
                  <pic:blipFill>
                    <a:blip r:embed="rId18" cstate="print">
                      <a:extLst>
                        <a:ext uri="{28A0092B-C50C-407E-A947-70E740481C1C}">
                          <a14:useLocalDpi xmlns:a14="http://schemas.microsoft.com/office/drawing/2010/main" val="false"/>
                        </a:ext>
                      </a:extLst>
                    </a:blip>
                    <a:srcRect l="2929" t="2552" r="2240" b="2533"/>
                    <a:stretch>
                      <a:fillRect/>
                    </a:stretch>
                  </pic:blipFill>
                  <pic:spPr>
                    <a:xfrm>
                      <a:off x="0" y="0"/>
                      <a:ext cx="3884250" cy="5490486"/>
                    </a:xfrm>
                    <a:prstGeom prst="rect">
                      <a:avLst/>
                    </a:prstGeom>
                    <a:noFill/>
                    <a:ln w="12700" cmpd="sng">
                      <a:solidFill>
                        <a:schemeClr val="tx1"/>
                      </a:solidFill>
                    </a:ln>
                  </pic:spPr>
                </pic:pic>
              </a:graphicData>
            </a:graphic>
          </wp:inline>
        </w:drawing>
      </w:r>
    </w:p>
    <w:p>
      <w:pPr>
        <w:ind w:firstLine="420"/>
        <w:jc w:val="center"/>
        <w:rPr>
          <w:rFonts w:ascii="Times New Roman" w:hAnsi="Times New Roman" w:eastAsia="宋体" w:cs="Times New Roman"/>
          <w:sz w:val="21"/>
          <w:szCs w:val="21"/>
        </w:rPr>
      </w:pPr>
      <w:r>
        <w:rPr>
          <w:rFonts w:ascii="Times New Roman" w:hAnsi="Times New Roman" w:eastAsia="宋体" w:cs="Times New Roman"/>
          <w:sz w:val="21"/>
          <w:szCs w:val="21"/>
        </w:rPr>
        <w:t>图3-1公益性用地分布情况</w:t>
      </w:r>
    </w:p>
    <w:p>
      <w:pPr>
        <w:rPr>
          <w:rFonts w:ascii="Times New Roman" w:hAnsi="Times New Roman" w:eastAsia="宋体" w:cs="Times New Roman"/>
        </w:rPr>
        <w:sectPr>
          <w:pgSz w:w="11906" w:h="16838"/>
          <w:pgMar w:top="1440" w:right="1800" w:bottom="1440" w:left="1800" w:header="851" w:footer="992" w:gutter="0"/>
          <w:cols w:space="425" w:num="1"/>
          <w:docGrid w:type="lines" w:linePitch="312" w:charSpace="0"/>
        </w:sectPr>
      </w:pPr>
    </w:p>
    <w:p>
      <w:pPr>
        <w:pStyle w:val="2"/>
        <w:rPr>
          <w:rFonts w:ascii="Times New Roman" w:hAnsi="Times New Roman" w:eastAsia="宋体" w:cs="Times New Roman"/>
        </w:rPr>
      </w:pPr>
      <w:bookmarkStart w:id="18" w:name="_Toc150354724"/>
      <w:r>
        <w:rPr>
          <w:rFonts w:ascii="Times New Roman" w:hAnsi="Times New Roman" w:eastAsia="宋体" w:cs="Times New Roman"/>
        </w:rPr>
        <w:t>土地征收成片开发实施计划</w:t>
      </w:r>
      <w:bookmarkEnd w:id="18"/>
    </w:p>
    <w:p>
      <w:pPr>
        <w:pStyle w:val="3"/>
        <w:numPr>
          <w:ilvl w:val="1"/>
          <w:numId w:val="1"/>
        </w:numPr>
        <w:ind w:firstLineChars="0"/>
        <w:rPr>
          <w:rFonts w:ascii="Times New Roman" w:hAnsi="Times New Roman" w:eastAsia="宋体" w:cs="Times New Roman"/>
        </w:rPr>
      </w:pPr>
      <w:bookmarkStart w:id="19" w:name="_Toc150354725"/>
      <w:r>
        <w:rPr>
          <w:rFonts w:ascii="Times New Roman" w:hAnsi="Times New Roman" w:eastAsia="宋体" w:cs="Times New Roman"/>
        </w:rPr>
        <w:t>片区内各地块拟安排的建设项目</w:t>
      </w:r>
      <w:bookmarkEnd w:id="19"/>
    </w:p>
    <w:p>
      <w:pPr>
        <w:rPr>
          <w:rFonts w:ascii="Times New Roman" w:hAnsi="Times New Roman" w:eastAsia="宋体" w:cs="Times New Roman"/>
        </w:rPr>
      </w:pPr>
      <w:r>
        <w:rPr>
          <w:rFonts w:ascii="Times New Roman" w:hAnsi="Times New Roman" w:eastAsia="宋体" w:cs="Times New Roman"/>
        </w:rPr>
        <w:t>本次方案涉及1个开发片区，片区面积为8.1578公顷，东洲片区涉及</w:t>
      </w:r>
      <w:r>
        <w:rPr>
          <w:rFonts w:hint="eastAsia" w:ascii="Times New Roman" w:hAnsi="Times New Roman" w:eastAsia="宋体" w:cs="Times New Roman"/>
        </w:rPr>
        <w:t>2</w:t>
      </w:r>
      <w:r>
        <w:rPr>
          <w:rFonts w:ascii="Times New Roman" w:hAnsi="Times New Roman" w:eastAsia="宋体" w:cs="Times New Roman"/>
        </w:rPr>
        <w:t>个开发地块，面积为1.2976公顷，涉及的拟安排建设项目详见下表。</w:t>
      </w:r>
    </w:p>
    <w:p>
      <w:pPr>
        <w:ind w:firstLine="420"/>
        <w:jc w:val="center"/>
        <w:rPr>
          <w:rFonts w:ascii="Times New Roman" w:hAnsi="Times New Roman" w:eastAsia="宋体" w:cs="Times New Roman"/>
          <w:kern w:val="0"/>
          <w:sz w:val="21"/>
          <w:szCs w:val="21"/>
        </w:rPr>
      </w:pPr>
      <w:r>
        <w:rPr>
          <w:rFonts w:ascii="Times New Roman" w:hAnsi="Times New Roman" w:eastAsia="宋体" w:cs="Times New Roman"/>
          <w:kern w:val="0"/>
          <w:sz w:val="21"/>
          <w:szCs w:val="21"/>
        </w:rPr>
        <w:t>表</w:t>
      </w:r>
      <w:r>
        <w:rPr>
          <w:rFonts w:hint="eastAsia" w:ascii="Times New Roman" w:hAnsi="Times New Roman" w:eastAsia="宋体" w:cs="Times New Roman"/>
          <w:kern w:val="0"/>
          <w:sz w:val="21"/>
          <w:szCs w:val="21"/>
        </w:rPr>
        <w:t>4</w:t>
      </w:r>
      <w:r>
        <w:rPr>
          <w:rFonts w:ascii="Times New Roman" w:hAnsi="Times New Roman" w:eastAsia="宋体" w:cs="Times New Roman"/>
          <w:b/>
          <w:bCs/>
          <w:kern w:val="0"/>
          <w:sz w:val="21"/>
          <w:szCs w:val="21"/>
        </w:rPr>
        <w:t xml:space="preserve">-1 </w:t>
      </w:r>
      <w:r>
        <w:rPr>
          <w:rFonts w:ascii="Times New Roman" w:hAnsi="Times New Roman" w:eastAsia="宋体" w:cs="Times New Roman"/>
          <w:kern w:val="0"/>
          <w:sz w:val="21"/>
          <w:szCs w:val="21"/>
        </w:rPr>
        <w:t>土地征收拟安排建设项目表</w:t>
      </w:r>
    </w:p>
    <w:p>
      <w:pPr>
        <w:ind w:firstLine="420"/>
        <w:jc w:val="right"/>
        <w:rPr>
          <w:rFonts w:ascii="Times New Roman" w:hAnsi="Times New Roman" w:eastAsia="宋体" w:cs="Times New Roman"/>
          <w:kern w:val="0"/>
          <w:sz w:val="21"/>
          <w:szCs w:val="21"/>
        </w:rPr>
      </w:pPr>
      <w:r>
        <w:rPr>
          <w:rFonts w:ascii="Times New Roman" w:hAnsi="Times New Roman" w:eastAsia="宋体" w:cs="Times New Roman"/>
          <w:kern w:val="0"/>
          <w:sz w:val="21"/>
          <w:szCs w:val="21"/>
        </w:rPr>
        <w:t>单位：公顷</w:t>
      </w:r>
    </w:p>
    <w:tbl>
      <w:tblPr>
        <w:tblStyle w:val="13"/>
        <w:tblW w:w="5000" w:type="pct"/>
        <w:tblInd w:w="0" w:type="dxa"/>
        <w:tblLayout w:type="autofit"/>
        <w:tblCellMar>
          <w:top w:w="0" w:type="dxa"/>
          <w:left w:w="108" w:type="dxa"/>
          <w:bottom w:w="0" w:type="dxa"/>
          <w:right w:w="108" w:type="dxa"/>
        </w:tblCellMar>
      </w:tblPr>
      <w:tblGrid>
        <w:gridCol w:w="1304"/>
        <w:gridCol w:w="1166"/>
        <w:gridCol w:w="5098"/>
        <w:gridCol w:w="954"/>
      </w:tblGrid>
      <w:tr>
        <w:tblPrEx>
          <w:tblCellMar>
            <w:top w:w="0" w:type="dxa"/>
            <w:left w:w="108" w:type="dxa"/>
            <w:bottom w:w="0" w:type="dxa"/>
            <w:right w:w="108" w:type="dxa"/>
          </w:tblCellMar>
        </w:tblPrEx>
        <w:trPr>
          <w:trHeight w:val="285" w:hRule="atLeast"/>
        </w:trPr>
        <w:tc>
          <w:tcPr>
            <w:tcW w:w="765"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片区名称</w:t>
            </w:r>
          </w:p>
        </w:tc>
        <w:tc>
          <w:tcPr>
            <w:tcW w:w="684"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涉及地块</w:t>
            </w:r>
          </w:p>
        </w:tc>
        <w:tc>
          <w:tcPr>
            <w:tcW w:w="2991"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项目名称</w:t>
            </w:r>
          </w:p>
        </w:tc>
        <w:tc>
          <w:tcPr>
            <w:tcW w:w="561"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面积</w:t>
            </w:r>
          </w:p>
        </w:tc>
      </w:tr>
      <w:tr>
        <w:tblPrEx>
          <w:tblCellMar>
            <w:top w:w="0" w:type="dxa"/>
            <w:left w:w="108" w:type="dxa"/>
            <w:bottom w:w="0" w:type="dxa"/>
            <w:right w:w="108" w:type="dxa"/>
          </w:tblCellMar>
        </w:tblPrEx>
        <w:trPr>
          <w:trHeight w:val="510" w:hRule="atLeast"/>
        </w:trPr>
        <w:tc>
          <w:tcPr>
            <w:tcW w:w="765"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东洲片区</w:t>
            </w:r>
          </w:p>
        </w:tc>
        <w:tc>
          <w:tcPr>
            <w:tcW w:w="684"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DK-1</w:t>
            </w:r>
          </w:p>
        </w:tc>
        <w:tc>
          <w:tcPr>
            <w:tcW w:w="2991"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辽宁天湖啤酒有限公司30万千升/年啤酒配套项目</w:t>
            </w:r>
          </w:p>
        </w:tc>
        <w:tc>
          <w:tcPr>
            <w:tcW w:w="561"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0.4054</w:t>
            </w:r>
          </w:p>
        </w:tc>
      </w:tr>
      <w:tr>
        <w:tblPrEx>
          <w:tblCellMar>
            <w:top w:w="0" w:type="dxa"/>
            <w:left w:w="108" w:type="dxa"/>
            <w:bottom w:w="0" w:type="dxa"/>
            <w:right w:w="108" w:type="dxa"/>
          </w:tblCellMar>
        </w:tblPrEx>
        <w:trPr>
          <w:trHeight w:val="510" w:hRule="atLeast"/>
        </w:trPr>
        <w:tc>
          <w:tcPr>
            <w:tcW w:w="765" w:type="pct"/>
            <w:vMerge w:val="continue"/>
            <w:tcBorders>
              <w:top w:val="nil"/>
              <w:left w:val="single" w:color="auto" w:sz="4" w:space="0"/>
              <w:bottom w:val="single" w:color="auto" w:sz="4" w:space="0"/>
              <w:right w:val="single" w:color="auto" w:sz="4" w:space="0"/>
            </w:tcBorders>
            <w:vAlign w:val="center"/>
          </w:tcPr>
          <w:p>
            <w:pPr>
              <w:widowControl/>
              <w:spacing w:line="240" w:lineRule="auto"/>
              <w:ind w:firstLine="0" w:firstLineChars="0"/>
              <w:rPr>
                <w:rFonts w:ascii="Times New Roman" w:hAnsi="Times New Roman" w:eastAsia="宋体" w:cs="Times New Roman"/>
                <w:color w:val="000000"/>
                <w:kern w:val="0"/>
                <w:sz w:val="21"/>
                <w:szCs w:val="21"/>
              </w:rPr>
            </w:pPr>
          </w:p>
        </w:tc>
        <w:tc>
          <w:tcPr>
            <w:tcW w:w="684"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DK-2</w:t>
            </w:r>
          </w:p>
        </w:tc>
        <w:tc>
          <w:tcPr>
            <w:tcW w:w="2991"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抚顺市鹏格石油制品销售有限公司加油站建设项目</w:t>
            </w:r>
          </w:p>
        </w:tc>
        <w:tc>
          <w:tcPr>
            <w:tcW w:w="561"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0.8922</w:t>
            </w:r>
          </w:p>
        </w:tc>
      </w:tr>
      <w:tr>
        <w:tblPrEx>
          <w:tblCellMar>
            <w:top w:w="0" w:type="dxa"/>
            <w:left w:w="108" w:type="dxa"/>
            <w:bottom w:w="0" w:type="dxa"/>
            <w:right w:w="108" w:type="dxa"/>
          </w:tblCellMar>
        </w:tblPrEx>
        <w:trPr>
          <w:trHeight w:val="285" w:hRule="atLeast"/>
        </w:trPr>
        <w:tc>
          <w:tcPr>
            <w:tcW w:w="4439" w:type="pct"/>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合计</w:t>
            </w:r>
          </w:p>
        </w:tc>
        <w:tc>
          <w:tcPr>
            <w:tcW w:w="561"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1.2976</w:t>
            </w:r>
          </w:p>
        </w:tc>
      </w:tr>
    </w:tbl>
    <w:p>
      <w:pPr>
        <w:pStyle w:val="3"/>
        <w:numPr>
          <w:ilvl w:val="1"/>
          <w:numId w:val="1"/>
        </w:numPr>
        <w:ind w:firstLineChars="0"/>
        <w:rPr>
          <w:rFonts w:ascii="Times New Roman" w:hAnsi="Times New Roman" w:eastAsia="宋体" w:cs="Times New Roman"/>
        </w:rPr>
      </w:pPr>
      <w:bookmarkStart w:id="20" w:name="_Toc150354726"/>
      <w:r>
        <w:rPr>
          <w:rFonts w:ascii="Times New Roman" w:hAnsi="Times New Roman" w:eastAsia="宋体" w:cs="Times New Roman"/>
        </w:rPr>
        <w:t>片区内拟建地块开发时序</w:t>
      </w:r>
      <w:bookmarkEnd w:id="20"/>
    </w:p>
    <w:p>
      <w:pPr>
        <w:rPr>
          <w:rFonts w:ascii="Times New Roman" w:hAnsi="Times New Roman" w:eastAsia="宋体" w:cs="Times New Roman"/>
        </w:rPr>
      </w:pPr>
      <w:r>
        <w:rPr>
          <w:rFonts w:ascii="Times New Roman" w:hAnsi="Times New Roman" w:eastAsia="宋体" w:cs="Times New Roman"/>
        </w:rPr>
        <w:t>受国土空间规划新增建设用地指标及土地利用年度计划指标的影响，结合拟建项目实际，对片区内各开发地块的开发时序进行安排。</w:t>
      </w:r>
      <w:r>
        <w:rPr>
          <w:rFonts w:hint="eastAsia" w:ascii="Times New Roman" w:hAnsi="Times New Roman" w:eastAsia="宋体" w:cs="Times New Roman"/>
        </w:rPr>
        <w:t>征地时间安排在</w:t>
      </w:r>
      <w:r>
        <w:rPr>
          <w:rFonts w:ascii="Times New Roman" w:hAnsi="Times New Roman" w:eastAsia="宋体" w:cs="Times New Roman"/>
        </w:rPr>
        <w:t>2023</w:t>
      </w:r>
      <w:r>
        <w:rPr>
          <w:rFonts w:hint="eastAsia" w:ascii="Times New Roman" w:hAnsi="Times New Roman" w:eastAsia="宋体" w:cs="Times New Roman"/>
        </w:rPr>
        <w:t>-2024</w:t>
      </w:r>
      <w:r>
        <w:rPr>
          <w:rFonts w:ascii="Times New Roman" w:hAnsi="Times New Roman" w:eastAsia="宋体" w:cs="Times New Roman"/>
        </w:rPr>
        <w:t>年。片区各开发地块的开发时序的年度实施计划详见下表。</w:t>
      </w:r>
    </w:p>
    <w:p>
      <w:pPr>
        <w:ind w:firstLine="420"/>
        <w:jc w:val="center"/>
        <w:rPr>
          <w:rFonts w:ascii="Times New Roman" w:hAnsi="Times New Roman" w:eastAsia="宋体" w:cs="Times New Roman"/>
          <w:kern w:val="0"/>
          <w:sz w:val="21"/>
          <w:szCs w:val="21"/>
        </w:rPr>
      </w:pPr>
      <w:r>
        <w:rPr>
          <w:rFonts w:ascii="Times New Roman" w:hAnsi="Times New Roman" w:eastAsia="宋体" w:cs="Times New Roman"/>
          <w:kern w:val="0"/>
          <w:sz w:val="21"/>
          <w:szCs w:val="21"/>
        </w:rPr>
        <w:t>表</w:t>
      </w:r>
      <w:r>
        <w:rPr>
          <w:rFonts w:hint="eastAsia" w:ascii="Times New Roman" w:hAnsi="Times New Roman" w:eastAsia="宋体" w:cs="Times New Roman"/>
          <w:kern w:val="0"/>
          <w:sz w:val="21"/>
          <w:szCs w:val="21"/>
        </w:rPr>
        <w:t>4</w:t>
      </w:r>
      <w:r>
        <w:rPr>
          <w:rFonts w:ascii="Times New Roman" w:hAnsi="Times New Roman" w:eastAsia="宋体" w:cs="Times New Roman"/>
          <w:bCs/>
          <w:kern w:val="0"/>
          <w:sz w:val="21"/>
          <w:szCs w:val="21"/>
        </w:rPr>
        <w:t>-2</w:t>
      </w:r>
      <w:r>
        <w:rPr>
          <w:rFonts w:ascii="Times New Roman" w:hAnsi="Times New Roman" w:eastAsia="宋体" w:cs="Times New Roman"/>
          <w:kern w:val="0"/>
          <w:sz w:val="21"/>
          <w:szCs w:val="21"/>
        </w:rPr>
        <w:t>开发时序情况表</w:t>
      </w:r>
    </w:p>
    <w:p>
      <w:pPr>
        <w:ind w:firstLine="420"/>
        <w:jc w:val="right"/>
        <w:rPr>
          <w:rFonts w:ascii="Times New Roman" w:hAnsi="Times New Roman" w:eastAsia="宋体" w:cs="Times New Roman"/>
          <w:kern w:val="0"/>
          <w:sz w:val="21"/>
          <w:szCs w:val="21"/>
        </w:rPr>
      </w:pPr>
      <w:r>
        <w:rPr>
          <w:rFonts w:ascii="Times New Roman" w:hAnsi="Times New Roman" w:eastAsia="宋体" w:cs="Times New Roman"/>
          <w:kern w:val="0"/>
          <w:sz w:val="21"/>
          <w:szCs w:val="21"/>
        </w:rPr>
        <w:t>单位：公顷</w:t>
      </w:r>
    </w:p>
    <w:tbl>
      <w:tblPr>
        <w:tblStyle w:val="13"/>
        <w:tblW w:w="5000" w:type="pct"/>
        <w:tblInd w:w="0" w:type="dxa"/>
        <w:tblLayout w:type="autofit"/>
        <w:tblCellMar>
          <w:top w:w="0" w:type="dxa"/>
          <w:left w:w="108" w:type="dxa"/>
          <w:bottom w:w="0" w:type="dxa"/>
          <w:right w:w="108" w:type="dxa"/>
        </w:tblCellMar>
      </w:tblPr>
      <w:tblGrid>
        <w:gridCol w:w="1084"/>
        <w:gridCol w:w="5026"/>
        <w:gridCol w:w="1595"/>
        <w:gridCol w:w="817"/>
      </w:tblGrid>
      <w:tr>
        <w:tblPrEx>
          <w:tblCellMar>
            <w:top w:w="0" w:type="dxa"/>
            <w:left w:w="108" w:type="dxa"/>
            <w:bottom w:w="0" w:type="dxa"/>
            <w:right w:w="108" w:type="dxa"/>
          </w:tblCellMar>
        </w:tblPrEx>
        <w:trPr>
          <w:trHeight w:val="300" w:hRule="atLeast"/>
        </w:trPr>
        <w:tc>
          <w:tcPr>
            <w:tcW w:w="636"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地块编号</w:t>
            </w:r>
          </w:p>
        </w:tc>
        <w:tc>
          <w:tcPr>
            <w:tcW w:w="2949"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项目名称</w:t>
            </w:r>
          </w:p>
        </w:tc>
        <w:tc>
          <w:tcPr>
            <w:tcW w:w="936"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开发时序</w:t>
            </w:r>
          </w:p>
        </w:tc>
        <w:tc>
          <w:tcPr>
            <w:tcW w:w="479"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面积</w:t>
            </w:r>
          </w:p>
        </w:tc>
      </w:tr>
      <w:tr>
        <w:tblPrEx>
          <w:tblCellMar>
            <w:top w:w="0" w:type="dxa"/>
            <w:left w:w="108" w:type="dxa"/>
            <w:bottom w:w="0" w:type="dxa"/>
            <w:right w:w="108" w:type="dxa"/>
          </w:tblCellMar>
        </w:tblPrEx>
        <w:trPr>
          <w:trHeight w:val="325" w:hRule="atLeast"/>
        </w:trPr>
        <w:tc>
          <w:tcPr>
            <w:tcW w:w="636" w:type="pct"/>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DK-1</w:t>
            </w:r>
          </w:p>
        </w:tc>
        <w:tc>
          <w:tcPr>
            <w:tcW w:w="2949"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辽宁天湖啤酒有限公司30万千升/年啤酒配套项目</w:t>
            </w:r>
          </w:p>
        </w:tc>
        <w:tc>
          <w:tcPr>
            <w:tcW w:w="936"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2023-2024年</w:t>
            </w:r>
          </w:p>
        </w:tc>
        <w:tc>
          <w:tcPr>
            <w:tcW w:w="479"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0.4054</w:t>
            </w:r>
          </w:p>
        </w:tc>
      </w:tr>
      <w:tr>
        <w:tblPrEx>
          <w:tblCellMar>
            <w:top w:w="0" w:type="dxa"/>
            <w:left w:w="108" w:type="dxa"/>
            <w:bottom w:w="0" w:type="dxa"/>
            <w:right w:w="108" w:type="dxa"/>
          </w:tblCellMar>
        </w:tblPrEx>
        <w:trPr>
          <w:trHeight w:val="415" w:hRule="atLeast"/>
        </w:trPr>
        <w:tc>
          <w:tcPr>
            <w:tcW w:w="636" w:type="pct"/>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DK-2</w:t>
            </w:r>
          </w:p>
        </w:tc>
        <w:tc>
          <w:tcPr>
            <w:tcW w:w="2949" w:type="pct"/>
            <w:tcBorders>
              <w:top w:val="nil"/>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抚顺市鹏格石油制品销售有限公司加油站建设项目</w:t>
            </w:r>
          </w:p>
        </w:tc>
        <w:tc>
          <w:tcPr>
            <w:tcW w:w="936"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2023-2024年</w:t>
            </w:r>
          </w:p>
        </w:tc>
        <w:tc>
          <w:tcPr>
            <w:tcW w:w="479"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0.8922</w:t>
            </w:r>
          </w:p>
        </w:tc>
      </w:tr>
      <w:tr>
        <w:tblPrEx>
          <w:tblCellMar>
            <w:top w:w="0" w:type="dxa"/>
            <w:left w:w="108" w:type="dxa"/>
            <w:bottom w:w="0" w:type="dxa"/>
            <w:right w:w="108" w:type="dxa"/>
          </w:tblCellMar>
        </w:tblPrEx>
        <w:trPr>
          <w:trHeight w:val="285" w:hRule="atLeast"/>
        </w:trPr>
        <w:tc>
          <w:tcPr>
            <w:tcW w:w="636" w:type="pct"/>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合计</w:t>
            </w:r>
          </w:p>
        </w:tc>
        <w:tc>
          <w:tcPr>
            <w:tcW w:w="2949"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p>
        </w:tc>
        <w:tc>
          <w:tcPr>
            <w:tcW w:w="936"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　</w:t>
            </w:r>
          </w:p>
        </w:tc>
        <w:tc>
          <w:tcPr>
            <w:tcW w:w="479" w:type="pct"/>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1.2976</w:t>
            </w:r>
          </w:p>
        </w:tc>
      </w:tr>
    </w:tbl>
    <w:p>
      <w:pPr>
        <w:pStyle w:val="2"/>
        <w:rPr>
          <w:rFonts w:ascii="Times New Roman" w:hAnsi="Times New Roman" w:eastAsia="宋体" w:cs="Times New Roman"/>
        </w:rPr>
      </w:pPr>
      <w:bookmarkStart w:id="21" w:name="_Toc150354727"/>
      <w:r>
        <w:rPr>
          <w:rFonts w:ascii="Times New Roman" w:hAnsi="Times New Roman" w:eastAsia="宋体" w:cs="Times New Roman"/>
        </w:rPr>
        <w:t>土地征收成片开发用途、功能和公益性用地比例</w:t>
      </w:r>
      <w:bookmarkEnd w:id="21"/>
    </w:p>
    <w:p>
      <w:pPr>
        <w:pStyle w:val="3"/>
        <w:numPr>
          <w:ilvl w:val="1"/>
          <w:numId w:val="1"/>
        </w:numPr>
        <w:ind w:firstLineChars="0"/>
        <w:rPr>
          <w:rFonts w:ascii="Times New Roman" w:hAnsi="Times New Roman" w:eastAsia="宋体" w:cs="Times New Roman"/>
        </w:rPr>
      </w:pPr>
      <w:bookmarkStart w:id="22" w:name="_Toc150354728"/>
      <w:r>
        <w:rPr>
          <w:rFonts w:ascii="Times New Roman" w:hAnsi="Times New Roman" w:eastAsia="宋体" w:cs="Times New Roman"/>
        </w:rPr>
        <w:t>土地征收成片开发的主要用途及实现功能</w:t>
      </w:r>
      <w:bookmarkEnd w:id="22"/>
    </w:p>
    <w:p>
      <w:pPr>
        <w:rPr>
          <w:rFonts w:ascii="Times New Roman" w:hAnsi="Times New Roman" w:eastAsia="宋体" w:cs="Times New Roman"/>
        </w:rPr>
      </w:pPr>
      <w:r>
        <w:rPr>
          <w:rFonts w:ascii="Times New Roman" w:hAnsi="Times New Roman" w:eastAsia="宋体" w:cs="Times New Roman"/>
        </w:rPr>
        <w:t>土地征收成片开发根据《国土空间调查、规划、用途管制用地用海分类指南（试行）》和城市总体规划、控制性详细规划、项目规划设计等材料，确定地块开发的主要用途。</w:t>
      </w:r>
    </w:p>
    <w:p>
      <w:pPr>
        <w:rPr>
          <w:rFonts w:ascii="Times New Roman" w:hAnsi="Times New Roman" w:eastAsia="宋体" w:cs="Times New Roman"/>
        </w:rPr>
      </w:pPr>
      <w:r>
        <w:rPr>
          <w:rFonts w:ascii="Times New Roman" w:hAnsi="Times New Roman" w:eastAsia="宋体" w:cs="Times New Roman"/>
        </w:rPr>
        <w:t>本次方案编制的主要目的是为了</w:t>
      </w:r>
      <w:r>
        <w:rPr>
          <w:rFonts w:hint="eastAsia" w:ascii="Times New Roman" w:hAnsi="Times New Roman" w:eastAsia="宋体" w:cs="Times New Roman"/>
        </w:rPr>
        <w:t>发展东洲区现代服务业，推进打造全产业链啤酒小镇</w:t>
      </w:r>
      <w:r>
        <w:rPr>
          <w:rFonts w:ascii="Times New Roman" w:hAnsi="Times New Roman" w:eastAsia="宋体" w:cs="Times New Roman"/>
        </w:rPr>
        <w:t>，完善区域基础设施建设。本次方案共涉及</w:t>
      </w:r>
      <w:r>
        <w:rPr>
          <w:rFonts w:hint="eastAsia" w:ascii="Times New Roman" w:hAnsi="Times New Roman" w:eastAsia="宋体" w:cs="Times New Roman"/>
        </w:rPr>
        <w:t>2</w:t>
      </w:r>
      <w:r>
        <w:rPr>
          <w:rFonts w:ascii="Times New Roman" w:hAnsi="Times New Roman" w:eastAsia="宋体" w:cs="Times New Roman"/>
        </w:rPr>
        <w:t>个拟征收地块，总规模为1.2976公顷，主要用途是工业用地</w:t>
      </w:r>
      <w:r>
        <w:rPr>
          <w:rFonts w:hint="eastAsia" w:ascii="Times New Roman" w:hAnsi="Times New Roman" w:eastAsia="宋体" w:cs="Times New Roman"/>
        </w:rPr>
        <w:t>，公益性用地主要为公用设施营业网点用地</w:t>
      </w:r>
      <w:r>
        <w:rPr>
          <w:rFonts w:ascii="Times New Roman" w:hAnsi="Times New Roman" w:eastAsia="宋体" w:cs="Times New Roman"/>
        </w:rPr>
        <w:t>。</w:t>
      </w:r>
    </w:p>
    <w:p>
      <w:pPr>
        <w:ind w:firstLine="420"/>
        <w:jc w:val="center"/>
        <w:rPr>
          <w:rFonts w:ascii="Times New Roman" w:hAnsi="Times New Roman" w:eastAsia="宋体" w:cs="Times New Roman"/>
          <w:kern w:val="0"/>
          <w:sz w:val="21"/>
          <w:szCs w:val="21"/>
        </w:rPr>
      </w:pPr>
      <w:r>
        <w:rPr>
          <w:rFonts w:ascii="Times New Roman" w:hAnsi="Times New Roman" w:eastAsia="宋体" w:cs="Times New Roman"/>
          <w:kern w:val="0"/>
          <w:sz w:val="21"/>
          <w:szCs w:val="21"/>
        </w:rPr>
        <w:t>表</w:t>
      </w:r>
      <w:r>
        <w:rPr>
          <w:rFonts w:hint="eastAsia" w:ascii="Times New Roman" w:hAnsi="Times New Roman" w:eastAsia="宋体" w:cs="Times New Roman"/>
          <w:kern w:val="0"/>
          <w:sz w:val="21"/>
          <w:szCs w:val="21"/>
        </w:rPr>
        <w:t>5</w:t>
      </w:r>
      <w:r>
        <w:rPr>
          <w:rFonts w:ascii="Times New Roman" w:hAnsi="Times New Roman" w:eastAsia="宋体" w:cs="Times New Roman"/>
          <w:kern w:val="0"/>
          <w:sz w:val="21"/>
          <w:szCs w:val="21"/>
        </w:rPr>
        <w:t>-1 拟建项目用地情况表</w:t>
      </w:r>
    </w:p>
    <w:p>
      <w:pPr>
        <w:ind w:firstLine="420"/>
        <w:jc w:val="right"/>
        <w:rPr>
          <w:rFonts w:ascii="Times New Roman" w:hAnsi="Times New Roman" w:eastAsia="宋体" w:cs="Times New Roman"/>
          <w:kern w:val="0"/>
          <w:sz w:val="21"/>
          <w:szCs w:val="21"/>
        </w:rPr>
      </w:pPr>
      <w:r>
        <w:rPr>
          <w:rFonts w:ascii="Times New Roman" w:hAnsi="Times New Roman" w:eastAsia="宋体" w:cs="Times New Roman"/>
          <w:kern w:val="0"/>
          <w:sz w:val="21"/>
          <w:szCs w:val="21"/>
        </w:rPr>
        <w:t>单位：公顷</w:t>
      </w:r>
    </w:p>
    <w:tbl>
      <w:tblPr>
        <w:tblStyle w:val="13"/>
        <w:tblW w:w="0" w:type="auto"/>
        <w:tblInd w:w="0" w:type="dxa"/>
        <w:tblLayout w:type="autofit"/>
        <w:tblCellMar>
          <w:top w:w="0" w:type="dxa"/>
          <w:left w:w="108" w:type="dxa"/>
          <w:bottom w:w="0" w:type="dxa"/>
          <w:right w:w="108" w:type="dxa"/>
        </w:tblCellMar>
      </w:tblPr>
      <w:tblGrid>
        <w:gridCol w:w="694"/>
        <w:gridCol w:w="719"/>
        <w:gridCol w:w="1701"/>
        <w:gridCol w:w="1078"/>
        <w:gridCol w:w="2341"/>
        <w:gridCol w:w="794"/>
        <w:gridCol w:w="969"/>
      </w:tblGrid>
      <w:tr>
        <w:tblPrEx>
          <w:tblCellMar>
            <w:top w:w="0" w:type="dxa"/>
            <w:left w:w="108" w:type="dxa"/>
            <w:bottom w:w="0" w:type="dxa"/>
            <w:right w:w="108" w:type="dxa"/>
          </w:tblCellMar>
        </w:tblPrEx>
        <w:trPr>
          <w:trHeight w:val="510" w:hRule="atLeast"/>
        </w:trPr>
        <w:tc>
          <w:tcPr>
            <w:tcW w:w="6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片区名称</w:t>
            </w:r>
          </w:p>
        </w:tc>
        <w:tc>
          <w:tcPr>
            <w:tcW w:w="7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涉及地块</w:t>
            </w:r>
          </w:p>
        </w:tc>
        <w:tc>
          <w:tcPr>
            <w:tcW w:w="17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项目名称</w:t>
            </w:r>
          </w:p>
        </w:tc>
        <w:tc>
          <w:tcPr>
            <w:tcW w:w="1078"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土地用途主要方向</w:t>
            </w:r>
          </w:p>
        </w:tc>
        <w:tc>
          <w:tcPr>
            <w:tcW w:w="23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功能定位和主要用途</w:t>
            </w:r>
          </w:p>
        </w:tc>
        <w:tc>
          <w:tcPr>
            <w:tcW w:w="7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征地面积</w:t>
            </w:r>
          </w:p>
        </w:tc>
        <w:tc>
          <w:tcPr>
            <w:tcW w:w="9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比例</w:t>
            </w:r>
          </w:p>
        </w:tc>
      </w:tr>
      <w:tr>
        <w:tblPrEx>
          <w:tblCellMar>
            <w:top w:w="0" w:type="dxa"/>
            <w:left w:w="108" w:type="dxa"/>
            <w:bottom w:w="0" w:type="dxa"/>
            <w:right w:w="108" w:type="dxa"/>
          </w:tblCellMar>
        </w:tblPrEx>
        <w:trPr>
          <w:trHeight w:val="381" w:hRule="atLeast"/>
        </w:trPr>
        <w:tc>
          <w:tcPr>
            <w:tcW w:w="69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p>
        </w:tc>
        <w:tc>
          <w:tcPr>
            <w:tcW w:w="71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p>
        </w:tc>
        <w:tc>
          <w:tcPr>
            <w:tcW w:w="1078" w:type="dxa"/>
            <w:vMerge w:val="continue"/>
            <w:tcBorders>
              <w:top w:val="single" w:color="auto" w:sz="4" w:space="0"/>
              <w:left w:val="single" w:color="auto" w:sz="4" w:space="0"/>
              <w:bottom w:val="single" w:color="000000" w:sz="4" w:space="0"/>
              <w:right w:val="single" w:color="auto" w:sz="4" w:space="0"/>
            </w:tcBorders>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p>
        </w:tc>
        <w:tc>
          <w:tcPr>
            <w:tcW w:w="234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p>
        </w:tc>
        <w:tc>
          <w:tcPr>
            <w:tcW w:w="79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p>
        </w:tc>
        <w:tc>
          <w:tcPr>
            <w:tcW w:w="96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p>
        </w:tc>
      </w:tr>
      <w:tr>
        <w:tblPrEx>
          <w:tblCellMar>
            <w:top w:w="0" w:type="dxa"/>
            <w:left w:w="108" w:type="dxa"/>
            <w:bottom w:w="0" w:type="dxa"/>
            <w:right w:w="108" w:type="dxa"/>
          </w:tblCellMar>
        </w:tblPrEx>
        <w:trPr>
          <w:trHeight w:val="765" w:hRule="atLeast"/>
        </w:trPr>
        <w:tc>
          <w:tcPr>
            <w:tcW w:w="69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东洲片区</w:t>
            </w:r>
          </w:p>
        </w:tc>
        <w:tc>
          <w:tcPr>
            <w:tcW w:w="719" w:type="dxa"/>
            <w:tcBorders>
              <w:top w:val="nil"/>
              <w:left w:val="nil"/>
              <w:bottom w:val="single" w:color="auto" w:sz="4" w:space="0"/>
              <w:right w:val="single" w:color="auto" w:sz="4" w:space="0"/>
            </w:tcBorders>
            <w:shd w:val="clear" w:color="auto" w:fill="auto"/>
            <w:noWrap/>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DK-1</w:t>
            </w:r>
          </w:p>
        </w:tc>
        <w:tc>
          <w:tcPr>
            <w:tcW w:w="1701"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辽宁天湖啤酒有限公司30万千升/年啤酒配套项目</w:t>
            </w:r>
          </w:p>
        </w:tc>
        <w:tc>
          <w:tcPr>
            <w:tcW w:w="1078" w:type="dxa"/>
            <w:tcBorders>
              <w:top w:val="nil"/>
              <w:left w:val="nil"/>
              <w:bottom w:val="single" w:color="auto" w:sz="4" w:space="0"/>
              <w:right w:val="single" w:color="auto" w:sz="4" w:space="0"/>
            </w:tcBorders>
            <w:shd w:val="clear" w:color="auto" w:fill="auto"/>
            <w:noWrap/>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工业用地</w:t>
            </w:r>
          </w:p>
        </w:tc>
        <w:tc>
          <w:tcPr>
            <w:tcW w:w="2341"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扩建发酵罐区，增加12个400立的发酵罐，完善生产配套，提升啤酒生产能力。</w:t>
            </w:r>
          </w:p>
        </w:tc>
        <w:tc>
          <w:tcPr>
            <w:tcW w:w="794" w:type="dxa"/>
            <w:tcBorders>
              <w:top w:val="nil"/>
              <w:left w:val="nil"/>
              <w:bottom w:val="single" w:color="auto" w:sz="4" w:space="0"/>
              <w:right w:val="single" w:color="auto" w:sz="4" w:space="0"/>
            </w:tcBorders>
            <w:shd w:val="clear" w:color="auto" w:fill="auto"/>
            <w:noWrap/>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0.4054</w:t>
            </w:r>
          </w:p>
        </w:tc>
        <w:tc>
          <w:tcPr>
            <w:tcW w:w="969"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31.24%</w:t>
            </w:r>
          </w:p>
        </w:tc>
      </w:tr>
      <w:tr>
        <w:tblPrEx>
          <w:tblCellMar>
            <w:top w:w="0" w:type="dxa"/>
            <w:left w:w="108" w:type="dxa"/>
            <w:bottom w:w="0" w:type="dxa"/>
            <w:right w:w="108" w:type="dxa"/>
          </w:tblCellMar>
        </w:tblPrEx>
        <w:trPr>
          <w:trHeight w:val="765" w:hRule="atLeast"/>
        </w:trPr>
        <w:tc>
          <w:tcPr>
            <w:tcW w:w="694" w:type="dxa"/>
            <w:vMerge w:val="continue"/>
            <w:tcBorders>
              <w:top w:val="nil"/>
              <w:left w:val="single" w:color="auto" w:sz="4" w:space="0"/>
              <w:bottom w:val="single" w:color="auto" w:sz="4" w:space="0"/>
              <w:right w:val="single" w:color="auto" w:sz="4" w:space="0"/>
            </w:tcBorders>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p>
        </w:tc>
        <w:tc>
          <w:tcPr>
            <w:tcW w:w="719" w:type="dxa"/>
            <w:tcBorders>
              <w:top w:val="nil"/>
              <w:left w:val="nil"/>
              <w:bottom w:val="single" w:color="auto" w:sz="4" w:space="0"/>
              <w:right w:val="single" w:color="auto" w:sz="4" w:space="0"/>
            </w:tcBorders>
            <w:shd w:val="clear" w:color="auto" w:fill="auto"/>
            <w:noWrap/>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DK-2</w:t>
            </w:r>
          </w:p>
        </w:tc>
        <w:tc>
          <w:tcPr>
            <w:tcW w:w="1701"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抚顺市鹏格石油制品销售有限公司加油站建设项目</w:t>
            </w:r>
          </w:p>
        </w:tc>
        <w:tc>
          <w:tcPr>
            <w:tcW w:w="1078" w:type="dxa"/>
            <w:tcBorders>
              <w:top w:val="nil"/>
              <w:left w:val="nil"/>
              <w:bottom w:val="single" w:color="auto" w:sz="4" w:space="0"/>
              <w:right w:val="single" w:color="auto" w:sz="4" w:space="0"/>
            </w:tcBorders>
            <w:shd w:val="clear" w:color="auto" w:fill="auto"/>
            <w:noWrap/>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公益性</w:t>
            </w:r>
          </w:p>
        </w:tc>
        <w:tc>
          <w:tcPr>
            <w:tcW w:w="2341"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为过程车辆、当地村民提供油料服务，改善加油站服务条件。</w:t>
            </w:r>
          </w:p>
        </w:tc>
        <w:tc>
          <w:tcPr>
            <w:tcW w:w="794" w:type="dxa"/>
            <w:tcBorders>
              <w:top w:val="nil"/>
              <w:left w:val="nil"/>
              <w:bottom w:val="single" w:color="auto" w:sz="4" w:space="0"/>
              <w:right w:val="single" w:color="auto" w:sz="4" w:space="0"/>
            </w:tcBorders>
            <w:shd w:val="clear" w:color="auto" w:fill="auto"/>
            <w:noWrap/>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0.8922</w:t>
            </w:r>
          </w:p>
        </w:tc>
        <w:tc>
          <w:tcPr>
            <w:tcW w:w="969"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68.76%</w:t>
            </w:r>
          </w:p>
        </w:tc>
      </w:tr>
      <w:tr>
        <w:tblPrEx>
          <w:tblCellMar>
            <w:top w:w="0" w:type="dxa"/>
            <w:left w:w="108" w:type="dxa"/>
            <w:bottom w:w="0" w:type="dxa"/>
            <w:right w:w="108" w:type="dxa"/>
          </w:tblCellMar>
        </w:tblPrEx>
        <w:trPr>
          <w:trHeight w:val="285" w:hRule="atLeast"/>
        </w:trPr>
        <w:tc>
          <w:tcPr>
            <w:tcW w:w="6533"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hint="eastAsia" w:ascii="Times New Roman" w:hAnsi="Times New Roman" w:eastAsia="宋体" w:cs="Times New Roman"/>
                <w:color w:val="000000"/>
                <w:kern w:val="0"/>
                <w:sz w:val="21"/>
                <w:szCs w:val="21"/>
              </w:rPr>
              <w:t>总计</w:t>
            </w:r>
          </w:p>
        </w:tc>
        <w:tc>
          <w:tcPr>
            <w:tcW w:w="794"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1.2976</w:t>
            </w:r>
          </w:p>
        </w:tc>
        <w:tc>
          <w:tcPr>
            <w:tcW w:w="969" w:type="dxa"/>
            <w:tcBorders>
              <w:top w:val="nil"/>
              <w:left w:val="nil"/>
              <w:bottom w:val="single" w:color="auto" w:sz="4" w:space="0"/>
              <w:right w:val="single" w:color="auto" w:sz="4" w:space="0"/>
            </w:tcBorders>
            <w:shd w:val="clear" w:color="auto" w:fill="auto"/>
            <w:vAlign w:val="center"/>
          </w:tcPr>
          <w:p>
            <w:pPr>
              <w:widowControl/>
              <w:spacing w:line="240" w:lineRule="exact"/>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100.00%</w:t>
            </w:r>
          </w:p>
        </w:tc>
      </w:tr>
    </w:tbl>
    <w:p>
      <w:pPr>
        <w:pStyle w:val="3"/>
        <w:numPr>
          <w:ilvl w:val="1"/>
          <w:numId w:val="1"/>
        </w:numPr>
        <w:ind w:firstLineChars="0"/>
        <w:rPr>
          <w:rFonts w:ascii="Times New Roman" w:hAnsi="Times New Roman" w:eastAsia="宋体" w:cs="Times New Roman"/>
        </w:rPr>
        <w:sectPr>
          <w:pgSz w:w="11906" w:h="16838"/>
          <w:pgMar w:top="1440" w:right="1800" w:bottom="1440" w:left="1800" w:header="851" w:footer="992" w:gutter="0"/>
          <w:cols w:space="425" w:num="1"/>
          <w:docGrid w:type="lines" w:linePitch="381" w:charSpace="0"/>
        </w:sectPr>
      </w:pPr>
    </w:p>
    <w:p>
      <w:pPr>
        <w:pStyle w:val="3"/>
        <w:numPr>
          <w:ilvl w:val="1"/>
          <w:numId w:val="1"/>
        </w:numPr>
        <w:ind w:firstLineChars="0"/>
        <w:rPr>
          <w:rFonts w:ascii="Times New Roman" w:hAnsi="Times New Roman" w:eastAsia="宋体" w:cs="Times New Roman"/>
        </w:rPr>
      </w:pPr>
      <w:bookmarkStart w:id="23" w:name="_Toc150354729"/>
      <w:r>
        <w:rPr>
          <w:rFonts w:ascii="Times New Roman" w:hAnsi="Times New Roman" w:eastAsia="宋体" w:cs="Times New Roman"/>
        </w:rPr>
        <w:t>土地征收片区内公益性用地比例分析</w:t>
      </w:r>
      <w:bookmarkEnd w:id="23"/>
    </w:p>
    <w:p>
      <w:pPr>
        <w:rPr>
          <w:rFonts w:ascii="Times New Roman" w:hAnsi="Times New Roman" w:eastAsia="宋体" w:cs="Times New Roman"/>
        </w:rPr>
      </w:pPr>
      <w:r>
        <w:rPr>
          <w:rFonts w:ascii="Times New Roman" w:hAnsi="Times New Roman" w:eastAsia="宋体" w:cs="Times New Roman"/>
        </w:rPr>
        <w:t>5.2.1现状公益性用地情况</w:t>
      </w:r>
    </w:p>
    <w:p>
      <w:pPr>
        <w:rPr>
          <w:rFonts w:ascii="Times New Roman" w:hAnsi="Times New Roman" w:eastAsia="宋体" w:cs="Times New Roman"/>
        </w:rPr>
      </w:pPr>
      <w:r>
        <w:rPr>
          <w:rFonts w:ascii="Times New Roman" w:hAnsi="Times New Roman" w:eastAsia="宋体" w:cs="Times New Roman"/>
        </w:rPr>
        <w:t>根据东洲区202</w:t>
      </w:r>
      <w:r>
        <w:rPr>
          <w:rFonts w:hint="eastAsia" w:ascii="Times New Roman" w:hAnsi="Times New Roman" w:eastAsia="宋体" w:cs="Times New Roman"/>
        </w:rPr>
        <w:t>2</w:t>
      </w:r>
      <w:r>
        <w:rPr>
          <w:rFonts w:ascii="Times New Roman" w:hAnsi="Times New Roman" w:eastAsia="宋体" w:cs="Times New Roman"/>
        </w:rPr>
        <w:t>年变更地类成果，对片区现状公益性用地进行认定，片区内现状公益性用地共</w:t>
      </w:r>
      <w:r>
        <w:rPr>
          <w:rFonts w:hint="eastAsia" w:ascii="Times New Roman" w:hAnsi="Times New Roman" w:eastAsia="宋体" w:cs="Times New Roman"/>
        </w:rPr>
        <w:t>0.5422</w:t>
      </w:r>
      <w:r>
        <w:rPr>
          <w:rFonts w:ascii="Times New Roman" w:hAnsi="Times New Roman" w:eastAsia="宋体" w:cs="Times New Roman"/>
        </w:rPr>
        <w:t>公顷，主要是公路用地。</w:t>
      </w:r>
    </w:p>
    <w:p>
      <w:pPr>
        <w:rPr>
          <w:rFonts w:ascii="Times New Roman" w:hAnsi="Times New Roman" w:eastAsia="宋体" w:cs="Times New Roman"/>
        </w:rPr>
      </w:pPr>
      <w:r>
        <w:rPr>
          <w:rFonts w:ascii="Times New Roman" w:hAnsi="Times New Roman" w:eastAsia="宋体" w:cs="Times New Roman"/>
        </w:rPr>
        <w:t>5.2.2规划公益性用地情况</w:t>
      </w:r>
    </w:p>
    <w:p>
      <w:pPr>
        <w:rPr>
          <w:rFonts w:ascii="Times New Roman" w:hAnsi="Times New Roman" w:eastAsia="宋体" w:cs="Times New Roman"/>
        </w:rPr>
      </w:pPr>
      <w:r>
        <w:rPr>
          <w:rFonts w:ascii="Times New Roman" w:hAnsi="Times New Roman" w:eastAsia="宋体" w:cs="Times New Roman"/>
        </w:rPr>
        <w:t>根据正在编制的国土空间规划和东洲区控制性详细规划等相关资料对片区内公益性用地进行认定，片区内规划新增公益性用地</w:t>
      </w:r>
      <w:r>
        <w:rPr>
          <w:rFonts w:hint="eastAsia" w:ascii="Times New Roman" w:hAnsi="Times New Roman" w:eastAsia="宋体" w:cs="Times New Roman"/>
        </w:rPr>
        <w:t>为0.4054</w:t>
      </w:r>
      <w:r>
        <w:rPr>
          <w:rFonts w:ascii="Times New Roman" w:hAnsi="Times New Roman" w:eastAsia="宋体" w:cs="Times New Roman"/>
        </w:rPr>
        <w:t>公</w:t>
      </w:r>
      <w:r>
        <w:rPr>
          <w:rFonts w:hint="eastAsia" w:ascii="Times New Roman" w:hAnsi="Times New Roman" w:eastAsia="宋体" w:cs="Times New Roman"/>
        </w:rPr>
        <w:t>的公用设施营业网点用地</w:t>
      </w:r>
      <w:r>
        <w:rPr>
          <w:rFonts w:ascii="Times New Roman" w:hAnsi="Times New Roman" w:eastAsia="宋体" w:cs="Times New Roman"/>
        </w:rPr>
        <w:t>。</w:t>
      </w:r>
    </w:p>
    <w:p>
      <w:pPr>
        <w:rPr>
          <w:rFonts w:ascii="Times New Roman" w:hAnsi="Times New Roman" w:eastAsia="宋体" w:cs="Times New Roman"/>
        </w:rPr>
        <w:sectPr>
          <w:pgSz w:w="11906" w:h="16838"/>
          <w:pgMar w:top="1440" w:right="1800" w:bottom="1440" w:left="1800" w:header="851" w:footer="992" w:gutter="0"/>
          <w:cols w:space="425" w:num="1"/>
          <w:docGrid w:type="lines" w:linePitch="312" w:charSpace="0"/>
        </w:sectPr>
      </w:pPr>
      <w:r>
        <w:rPr>
          <w:rFonts w:ascii="Times New Roman" w:hAnsi="Times New Roman" w:eastAsia="宋体" w:cs="Times New Roman"/>
        </w:rPr>
        <w:t>综合以上，本次方案涉及的开发范围内规划公益性用地面积为</w:t>
      </w:r>
      <w:r>
        <w:rPr>
          <w:rFonts w:hint="eastAsia" w:ascii="Times New Roman" w:hAnsi="Times New Roman" w:eastAsia="宋体" w:cs="Times New Roman"/>
        </w:rPr>
        <w:t>1.4344</w:t>
      </w:r>
      <w:r>
        <w:rPr>
          <w:rFonts w:ascii="Times New Roman" w:hAnsi="Times New Roman" w:eastAsia="宋体" w:cs="Times New Roman"/>
        </w:rPr>
        <w:t>公顷，公益性用地比例为</w:t>
      </w:r>
      <w:r>
        <w:rPr>
          <w:rFonts w:hint="eastAsia" w:ascii="Times New Roman" w:hAnsi="Times New Roman" w:eastAsia="宋体" w:cs="Times New Roman"/>
        </w:rPr>
        <w:t>17.58</w:t>
      </w:r>
      <w:r>
        <w:rPr>
          <w:rFonts w:ascii="Times New Roman" w:hAnsi="Times New Roman" w:eastAsia="宋体" w:cs="Times New Roman"/>
        </w:rPr>
        <w:t>%。成片开发片区内公益性用地比例符合抚顺市土地征收成片开发基础设施、公共服务设施以及其他公益性用地的比例不低于15%的要求。</w:t>
      </w:r>
    </w:p>
    <w:p>
      <w:pPr>
        <w:pStyle w:val="2"/>
        <w:rPr>
          <w:rFonts w:ascii="Times New Roman" w:hAnsi="Times New Roman" w:eastAsia="宋体" w:cs="Times New Roman"/>
        </w:rPr>
      </w:pPr>
      <w:r>
        <w:rPr>
          <w:rFonts w:ascii="Times New Roman" w:hAnsi="Times New Roman" w:eastAsia="宋体" w:cs="Times New Roman"/>
        </w:rPr>
        <w:t xml:space="preserve"> </w:t>
      </w:r>
      <w:bookmarkStart w:id="24" w:name="_Toc150354730"/>
      <w:r>
        <w:rPr>
          <w:rFonts w:ascii="Times New Roman" w:hAnsi="Times New Roman" w:eastAsia="宋体" w:cs="Times New Roman"/>
        </w:rPr>
        <w:t>土地成片开发效益评估</w:t>
      </w:r>
      <w:bookmarkEnd w:id="24"/>
    </w:p>
    <w:p>
      <w:pPr>
        <w:pStyle w:val="3"/>
        <w:numPr>
          <w:ilvl w:val="1"/>
          <w:numId w:val="1"/>
        </w:numPr>
        <w:ind w:firstLineChars="0"/>
        <w:rPr>
          <w:rFonts w:ascii="Times New Roman" w:hAnsi="Times New Roman" w:eastAsia="宋体" w:cs="Times New Roman"/>
        </w:rPr>
      </w:pPr>
      <w:bookmarkStart w:id="25" w:name="_Toc150354731"/>
      <w:bookmarkStart w:id="26" w:name="_Hlk140235889"/>
      <w:r>
        <w:rPr>
          <w:rFonts w:ascii="Times New Roman" w:hAnsi="Times New Roman" w:eastAsia="宋体" w:cs="Times New Roman"/>
        </w:rPr>
        <w:t>土地利用效益</w:t>
      </w:r>
      <w:bookmarkEnd w:id="25"/>
    </w:p>
    <w:p>
      <w:pPr>
        <w:rPr>
          <w:rFonts w:ascii="Times New Roman" w:hAnsi="Times New Roman" w:eastAsia="宋体" w:cs="Times New Roman"/>
        </w:rPr>
      </w:pPr>
      <w:r>
        <w:rPr>
          <w:rFonts w:ascii="Times New Roman" w:hAnsi="Times New Roman" w:eastAsia="宋体" w:cs="Times New Roman"/>
        </w:rPr>
        <w:t>本成片开发方案实施过程中将合理安排用地规模、结构和布局，优化空间格局，提高现有土地使用效益，实现土地利用由粗放型向集约型的根本转变，形成布局集中、产业集聚、用地集约的城市新区。通过成片土地整体规划布局，配套适当的基础设施，避免出现基础设施利用率过低，土地使用粗放，造成公共资源浪费以及用地面积过大。通过土地征收成片开发的实施，对城区土地进行统一规划、综合开发、配套建设，区别以往单个项目独立建设，能有效挖掘城区内闲置土地，同时有效缩减征地范围，限定发展区域，将使得县域土地利用更加集约高效。</w:t>
      </w:r>
    </w:p>
    <w:p>
      <w:pPr>
        <w:rPr>
          <w:rFonts w:ascii="Times New Roman" w:hAnsi="Times New Roman" w:eastAsia="宋体" w:cs="Times New Roman"/>
        </w:rPr>
      </w:pPr>
      <w:r>
        <w:rPr>
          <w:rFonts w:ascii="Times New Roman" w:hAnsi="Times New Roman" w:eastAsia="宋体" w:cs="Times New Roman"/>
        </w:rPr>
        <w:t>方案涉及的工业项目各项指标符合自然资源部下发的《工业项目建设用地控制指标》。</w:t>
      </w:r>
    </w:p>
    <w:bookmarkEnd w:id="26"/>
    <w:p>
      <w:pPr>
        <w:pStyle w:val="3"/>
        <w:numPr>
          <w:ilvl w:val="1"/>
          <w:numId w:val="1"/>
        </w:numPr>
        <w:ind w:firstLineChars="0"/>
        <w:rPr>
          <w:rFonts w:ascii="Times New Roman" w:hAnsi="Times New Roman" w:eastAsia="宋体" w:cs="Times New Roman"/>
        </w:rPr>
      </w:pPr>
      <w:bookmarkStart w:id="27" w:name="_Toc150354732"/>
      <w:r>
        <w:rPr>
          <w:rFonts w:ascii="Times New Roman" w:hAnsi="Times New Roman" w:eastAsia="宋体" w:cs="Times New Roman"/>
        </w:rPr>
        <w:t>经济效益评估</w:t>
      </w:r>
      <w:bookmarkEnd w:id="27"/>
    </w:p>
    <w:p>
      <w:pPr>
        <w:rPr>
          <w:rFonts w:ascii="Times New Roman" w:hAnsi="Times New Roman" w:eastAsia="宋体" w:cs="Times New Roman"/>
        </w:rPr>
      </w:pPr>
      <w:r>
        <w:rPr>
          <w:rFonts w:ascii="Times New Roman" w:hAnsi="Times New Roman" w:eastAsia="宋体" w:cs="Times New Roman"/>
        </w:rPr>
        <w:t>成片开发的实施有利于产业和生产要素集聚和区域经济发展整体规划，发挥产业规模效应，促进区域经济发展。从长远的效益观看，成片开发的实施将优化区域产业结构，有效的带动地方基础设施建设及区域经济的快速发展。</w:t>
      </w:r>
    </w:p>
    <w:p>
      <w:pPr>
        <w:rPr>
          <w:rFonts w:ascii="Times New Roman" w:hAnsi="Times New Roman" w:eastAsia="宋体" w:cs="Times New Roman"/>
        </w:rPr>
      </w:pPr>
      <w:r>
        <w:rPr>
          <w:rFonts w:ascii="Times New Roman" w:hAnsi="Times New Roman" w:eastAsia="宋体" w:cs="Times New Roman"/>
        </w:rPr>
        <w:t>方案包含的拟建项目总投资</w:t>
      </w:r>
      <w:r>
        <w:rPr>
          <w:rFonts w:hint="eastAsia" w:ascii="Times New Roman" w:hAnsi="Times New Roman" w:eastAsia="宋体" w:cs="Times New Roman"/>
        </w:rPr>
        <w:t>5200</w:t>
      </w:r>
      <w:r>
        <w:rPr>
          <w:rFonts w:ascii="Times New Roman" w:hAnsi="Times New Roman" w:eastAsia="宋体" w:cs="Times New Roman"/>
        </w:rPr>
        <w:t>万元。</w:t>
      </w:r>
      <w:r>
        <w:rPr>
          <w:rFonts w:hint="eastAsia" w:ascii="Times New Roman" w:hAnsi="Times New Roman" w:eastAsia="宋体" w:cs="Times New Roman"/>
        </w:rPr>
        <w:t>方案的实施将带动社会资金流动，新增的建设用地投资强度达到4007.40万元/公顷。从长远的效益观看，成片开发可以增加企业的经济效益，通过投入及产出的带动作用，对周边区域经济效益将产生积极影响，极大带动地方经济发展。</w:t>
      </w:r>
    </w:p>
    <w:p>
      <w:pPr>
        <w:rPr>
          <w:rFonts w:ascii="Times New Roman" w:hAnsi="Times New Roman" w:eastAsia="宋体" w:cs="Times New Roman"/>
        </w:rPr>
      </w:pPr>
      <w:r>
        <w:rPr>
          <w:rFonts w:ascii="Times New Roman" w:hAnsi="Times New Roman" w:eastAsia="宋体" w:cs="Times New Roman"/>
        </w:rPr>
        <w:t>项目建设将有助于推动当地产业结构升级及经济、社会良性发展，具有良好的经济、社会效益。方案的实施，在带动各建设项目用地单位的经济效益的基础上，还将通过投入及产出的带动作用，对周边区域经济效益将产生积极影响。</w:t>
      </w:r>
    </w:p>
    <w:p>
      <w:pPr>
        <w:pStyle w:val="3"/>
        <w:numPr>
          <w:ilvl w:val="1"/>
          <w:numId w:val="1"/>
        </w:numPr>
        <w:ind w:firstLineChars="0"/>
        <w:rPr>
          <w:rFonts w:ascii="Times New Roman" w:hAnsi="Times New Roman" w:eastAsia="宋体" w:cs="Times New Roman"/>
        </w:rPr>
      </w:pPr>
      <w:bookmarkStart w:id="28" w:name="_Toc150354733"/>
      <w:r>
        <w:rPr>
          <w:rFonts w:ascii="Times New Roman" w:hAnsi="Times New Roman" w:eastAsia="宋体" w:cs="Times New Roman"/>
        </w:rPr>
        <w:t>社会效益评估</w:t>
      </w:r>
      <w:bookmarkEnd w:id="28"/>
    </w:p>
    <w:p>
      <w:pPr>
        <w:rPr>
          <w:rFonts w:ascii="Times New Roman" w:hAnsi="Times New Roman" w:eastAsia="宋体" w:cs="Times New Roman"/>
        </w:rPr>
      </w:pPr>
      <w:r>
        <w:rPr>
          <w:rFonts w:ascii="Times New Roman" w:hAnsi="Times New Roman" w:eastAsia="宋体" w:cs="Times New Roman"/>
        </w:rPr>
        <w:t>项目建设对</w:t>
      </w:r>
      <w:r>
        <w:rPr>
          <w:rFonts w:hint="eastAsia" w:ascii="Times New Roman" w:hAnsi="Times New Roman" w:eastAsia="宋体" w:cs="Times New Roman"/>
        </w:rPr>
        <w:t>提高绿色食品产业发展水平</w:t>
      </w:r>
      <w:r>
        <w:rPr>
          <w:rFonts w:ascii="Times New Roman" w:hAnsi="Times New Roman" w:eastAsia="宋体" w:cs="Times New Roman"/>
        </w:rPr>
        <w:t>具有重要推动作用，有利于区域产业结构升级</w:t>
      </w:r>
      <w:r>
        <w:rPr>
          <w:rFonts w:hint="eastAsia" w:ascii="Times New Roman" w:hAnsi="Times New Roman" w:eastAsia="宋体" w:cs="Times New Roman"/>
        </w:rPr>
        <w:t>，完善城市交通基础服务设施</w:t>
      </w:r>
      <w:r>
        <w:rPr>
          <w:rFonts w:ascii="Times New Roman" w:hAnsi="Times New Roman" w:eastAsia="宋体" w:cs="Times New Roman"/>
        </w:rPr>
        <w:t>。方案的实施将对成片开发区域规划布局和发展产生巨大影响，进一步提高城镇化水平，增加就业岗位，改善招商引资环境。预计直接增加</w:t>
      </w:r>
      <w:r>
        <w:rPr>
          <w:rFonts w:hint="eastAsia" w:ascii="Times New Roman" w:hAnsi="Times New Roman" w:eastAsia="宋体" w:cs="Times New Roman"/>
        </w:rPr>
        <w:t>209</w:t>
      </w:r>
      <w:r>
        <w:rPr>
          <w:rFonts w:ascii="Times New Roman" w:hAnsi="Times New Roman" w:eastAsia="宋体" w:cs="Times New Roman"/>
        </w:rPr>
        <w:t>个社会新增就业岗位，并将健全社会基础设施体系。</w:t>
      </w:r>
    </w:p>
    <w:p>
      <w:pPr>
        <w:pStyle w:val="3"/>
        <w:numPr>
          <w:ilvl w:val="1"/>
          <w:numId w:val="1"/>
        </w:numPr>
        <w:ind w:firstLineChars="0"/>
        <w:rPr>
          <w:rFonts w:ascii="Times New Roman" w:hAnsi="Times New Roman" w:eastAsia="宋体" w:cs="Times New Roman"/>
        </w:rPr>
      </w:pPr>
      <w:bookmarkStart w:id="29" w:name="_Toc150354734"/>
      <w:r>
        <w:rPr>
          <w:rFonts w:ascii="Times New Roman" w:hAnsi="Times New Roman" w:eastAsia="宋体" w:cs="Times New Roman"/>
        </w:rPr>
        <w:t>生态效益</w:t>
      </w:r>
      <w:bookmarkEnd w:id="29"/>
    </w:p>
    <w:p>
      <w:pPr>
        <w:rPr>
          <w:rFonts w:ascii="Times New Roman" w:hAnsi="Times New Roman" w:eastAsia="宋体" w:cs="Times New Roman"/>
        </w:rPr>
      </w:pPr>
      <w:r>
        <w:rPr>
          <w:rFonts w:ascii="Times New Roman" w:hAnsi="Times New Roman" w:eastAsia="宋体" w:cs="Times New Roman"/>
        </w:rPr>
        <w:t>成片开发范围不占用永久基本农田、不占用生态保护红线；未见现状地质灾害，未处于地质灾害易发区；未发现有重要工业价值的矿产资源，没有压覆现有矿山和已经探明的矿产资源；未占用各级各类自然保护区和风景名胜区，不影响生态圈的稳定。</w:t>
      </w:r>
    </w:p>
    <w:p>
      <w:pPr>
        <w:rPr>
          <w:rFonts w:ascii="Times New Roman" w:hAnsi="Times New Roman" w:eastAsia="宋体" w:cs="Times New Roman"/>
        </w:rPr>
      </w:pPr>
      <w:r>
        <w:rPr>
          <w:rFonts w:ascii="Times New Roman" w:hAnsi="Times New Roman" w:eastAsia="宋体" w:cs="Times New Roman"/>
        </w:rPr>
        <w:t>方案的实施符合绿色发展和循环经济的理念。项目建设将优化资源配置，遵循“资源节约、环境友好”的科学发展观念，通过提高工艺水平实现内部资源集约化。</w:t>
      </w:r>
      <w:r>
        <w:rPr>
          <w:rFonts w:hint="eastAsia" w:ascii="Times New Roman" w:hAnsi="Times New Roman" w:eastAsia="宋体" w:cs="Times New Roman"/>
        </w:rPr>
        <w:t>项目选址</w:t>
      </w:r>
      <w:r>
        <w:rPr>
          <w:rFonts w:ascii="Times New Roman" w:hAnsi="Times New Roman" w:eastAsia="宋体" w:cs="Times New Roman"/>
        </w:rPr>
        <w:t xml:space="preserve">有较完善的交通、给水、排水、供电、供热、污水处理等基础设施，同时项目采用先进可靠的“三废”处理工艺及技术，利用严格执行环保标准处理“三废”排放，减少生态环境污染和生态安全。 </w:t>
      </w:r>
    </w:p>
    <w:p>
      <w:pPr>
        <w:rPr>
          <w:rFonts w:ascii="Times New Roman" w:hAnsi="Times New Roman" w:eastAsia="宋体" w:cs="Times New Roman"/>
        </w:rPr>
        <w:sectPr>
          <w:pgSz w:w="11906" w:h="16838"/>
          <w:pgMar w:top="1440" w:right="1800" w:bottom="1440" w:left="1800" w:header="851" w:footer="992" w:gutter="0"/>
          <w:cols w:space="425" w:num="1"/>
          <w:docGrid w:type="lines" w:linePitch="312" w:charSpace="0"/>
        </w:sectPr>
      </w:pPr>
    </w:p>
    <w:p>
      <w:pPr>
        <w:pStyle w:val="2"/>
        <w:rPr>
          <w:rFonts w:ascii="Times New Roman" w:hAnsi="Times New Roman" w:eastAsia="宋体" w:cs="Times New Roman"/>
        </w:rPr>
      </w:pPr>
      <w:bookmarkStart w:id="30" w:name="_Toc150354735"/>
      <w:r>
        <w:rPr>
          <w:rFonts w:ascii="Times New Roman" w:hAnsi="Times New Roman" w:eastAsia="宋体" w:cs="Times New Roman"/>
        </w:rPr>
        <w:t>公众参与情况</w:t>
      </w:r>
      <w:bookmarkEnd w:id="30"/>
    </w:p>
    <w:p>
      <w:pPr>
        <w:pStyle w:val="3"/>
        <w:numPr>
          <w:ilvl w:val="1"/>
          <w:numId w:val="1"/>
        </w:numPr>
        <w:ind w:firstLineChars="0"/>
        <w:rPr>
          <w:rFonts w:ascii="Times New Roman" w:hAnsi="Times New Roman" w:eastAsia="宋体" w:cs="Times New Roman"/>
        </w:rPr>
      </w:pPr>
      <w:bookmarkStart w:id="31" w:name="_Toc150354736"/>
      <w:r>
        <w:rPr>
          <w:rFonts w:ascii="Times New Roman" w:hAnsi="Times New Roman" w:eastAsia="宋体" w:cs="Times New Roman"/>
        </w:rPr>
        <w:t>征求片区内农村集体经济组织和农民的意见</w:t>
      </w:r>
      <w:bookmarkEnd w:id="31"/>
    </w:p>
    <w:p>
      <w:pPr>
        <w:rPr>
          <w:rFonts w:ascii="Times New Roman" w:hAnsi="Times New Roman" w:eastAsia="宋体" w:cs="Times New Roman"/>
        </w:rPr>
      </w:pPr>
      <w:r>
        <w:rPr>
          <w:rFonts w:hint="eastAsia" w:ascii="Times New Roman" w:hAnsi="Times New Roman" w:eastAsia="宋体" w:cs="Times New Roman"/>
        </w:rPr>
        <w:t>为切实保证公众对本次方案的知情权、参与权和监督权，了解成片开发的基本情况和实施安排，保障城镇化发展的必要用地，本次方案采取农村集体经济组织集中会议的形式征求集体经济组织三分之二以上村民代表意见。</w:t>
      </w:r>
    </w:p>
    <w:p>
      <w:pPr>
        <w:rPr>
          <w:rFonts w:ascii="Times New Roman" w:hAnsi="Times New Roman" w:eastAsia="宋体" w:cs="Times New Roman"/>
        </w:rPr>
      </w:pPr>
      <w:r>
        <w:rPr>
          <w:rFonts w:hint="eastAsia" w:ascii="Times New Roman" w:hAnsi="Times New Roman" w:eastAsia="宋体" w:cs="Times New Roman"/>
        </w:rPr>
        <w:t>落实被征地的农村集体经济组织和农民在整个方案编制过程的知情权、参与权和监督权。告知村民代表成片开发所涉及的面积范围、规划用途等，使征地利害关系人能够及时、准确的获取征地的相关信息，主动邀请成片开发区域的农民集体组织参与审查监督土地征收成片开发方案的编制和实施情况，加强与农民的互动方式，及时获得农民意见，了解农民需求。</w:t>
      </w:r>
    </w:p>
    <w:p>
      <w:pPr>
        <w:rPr>
          <w:rFonts w:ascii="Times New Roman" w:hAnsi="Times New Roman" w:eastAsia="宋体" w:cs="Times New Roman"/>
        </w:rPr>
      </w:pPr>
      <w:r>
        <w:rPr>
          <w:rFonts w:ascii="Times New Roman" w:hAnsi="Times New Roman" w:eastAsia="宋体" w:cs="Times New Roman"/>
        </w:rPr>
        <w:t>本次土地征收范围涉及</w:t>
      </w:r>
      <w:r>
        <w:rPr>
          <w:rFonts w:hint="eastAsia" w:ascii="Times New Roman" w:hAnsi="Times New Roman" w:eastAsia="宋体" w:cs="Times New Roman"/>
        </w:rPr>
        <w:t>碾盘乡新太河村和章党街道章党汉族村2</w:t>
      </w:r>
      <w:r>
        <w:rPr>
          <w:rFonts w:ascii="Times New Roman" w:hAnsi="Times New Roman" w:eastAsia="宋体" w:cs="Times New Roman"/>
        </w:rPr>
        <w:t>个权属单位。</w:t>
      </w:r>
      <w:r>
        <w:rPr>
          <w:rFonts w:hint="eastAsia" w:ascii="Times New Roman" w:hAnsi="Times New Roman" w:eastAsia="宋体" w:cs="Times New Roman"/>
        </w:rPr>
        <w:t>通过采取农村集体经济组织集中会议的形式，召集农村集体经济组织村民参加会议，并对本次成片开发方案进行表决。碾盘乡新太河村和章党街道章党汉族村召开了农村集体经济组织集中会议，积极征求涉及的土地权利人意见。会议结果满足村民会议三分之二以上成员或者三分之二以上村民代表同意的要求。详见附件3。</w:t>
      </w:r>
    </w:p>
    <w:p>
      <w:pPr>
        <w:pStyle w:val="3"/>
        <w:numPr>
          <w:ilvl w:val="1"/>
          <w:numId w:val="1"/>
        </w:numPr>
        <w:ind w:firstLineChars="0"/>
        <w:rPr>
          <w:rFonts w:ascii="Times New Roman" w:hAnsi="Times New Roman" w:eastAsia="宋体" w:cs="Times New Roman"/>
        </w:rPr>
      </w:pPr>
      <w:bookmarkStart w:id="32" w:name="_Toc150354737"/>
      <w:r>
        <w:rPr>
          <w:rFonts w:ascii="Times New Roman" w:hAnsi="Times New Roman" w:eastAsia="宋体" w:cs="Times New Roman"/>
        </w:rPr>
        <w:t>公开征求意见情况</w:t>
      </w:r>
      <w:bookmarkEnd w:id="32"/>
    </w:p>
    <w:p>
      <w:pPr>
        <w:rPr>
          <w:rFonts w:ascii="Times New Roman" w:hAnsi="Times New Roman" w:eastAsia="宋体" w:cs="Times New Roman"/>
        </w:rPr>
      </w:pPr>
      <w:r>
        <w:rPr>
          <w:rFonts w:ascii="Times New Roman" w:hAnsi="Times New Roman" w:eastAsia="宋体" w:cs="Times New Roman"/>
        </w:rPr>
        <w:t>土地征收成片开发方案应通过征求东洲区人大、区政协、区发展和改革局、区人力资源和社会保障局、区农业农村局、区住房和城乡建设局、区财政局等部门的意见，参会人员现场交流讨论并填写征求意见表。</w:t>
      </w:r>
      <w:r>
        <w:rPr>
          <w:rFonts w:hint="eastAsia" w:ascii="Times New Roman" w:hAnsi="Times New Roman" w:eastAsia="宋体" w:cs="Times New Roman"/>
        </w:rPr>
        <w:t>方案应在东洲区人民政府官方网站进行公示，向社会公众征集意见。详见附件4。</w:t>
      </w:r>
    </w:p>
    <w:p>
      <w:pPr>
        <w:rPr>
          <w:rFonts w:ascii="Times New Roman" w:hAnsi="Times New Roman" w:eastAsia="宋体" w:cs="Times New Roman"/>
        </w:rPr>
        <w:sectPr>
          <w:pgSz w:w="11906" w:h="16838"/>
          <w:pgMar w:top="1440" w:right="1800" w:bottom="1440" w:left="1800" w:header="851" w:footer="992" w:gutter="0"/>
          <w:cols w:space="425" w:num="1"/>
          <w:docGrid w:type="lines" w:linePitch="312" w:charSpace="0"/>
        </w:sectPr>
      </w:pPr>
    </w:p>
    <w:p>
      <w:pPr>
        <w:pStyle w:val="2"/>
        <w:rPr>
          <w:rFonts w:ascii="Times New Roman" w:hAnsi="Times New Roman" w:eastAsia="宋体" w:cs="Times New Roman"/>
        </w:rPr>
      </w:pPr>
      <w:bookmarkStart w:id="33" w:name="_Toc150354738"/>
      <w:r>
        <w:rPr>
          <w:rFonts w:ascii="Times New Roman" w:hAnsi="Times New Roman" w:eastAsia="宋体" w:cs="Times New Roman"/>
        </w:rPr>
        <w:t>保障措施</w:t>
      </w:r>
      <w:bookmarkEnd w:id="33"/>
    </w:p>
    <w:p>
      <w:pPr>
        <w:pStyle w:val="3"/>
        <w:numPr>
          <w:ilvl w:val="1"/>
          <w:numId w:val="1"/>
        </w:numPr>
        <w:ind w:firstLineChars="0"/>
        <w:rPr>
          <w:rFonts w:ascii="Times New Roman" w:hAnsi="Times New Roman" w:eastAsia="宋体" w:cs="Times New Roman"/>
        </w:rPr>
      </w:pPr>
      <w:bookmarkStart w:id="34" w:name="_Toc150354739"/>
      <w:r>
        <w:rPr>
          <w:rFonts w:ascii="Times New Roman" w:hAnsi="Times New Roman" w:eastAsia="宋体" w:cs="Times New Roman"/>
        </w:rPr>
        <w:t>组织保障</w:t>
      </w:r>
      <w:bookmarkEnd w:id="34"/>
    </w:p>
    <w:p>
      <w:pPr>
        <w:rPr>
          <w:rFonts w:ascii="Times New Roman" w:hAnsi="Times New Roman" w:eastAsia="宋体" w:cs="Times New Roman"/>
        </w:rPr>
      </w:pPr>
      <w:r>
        <w:rPr>
          <w:rFonts w:ascii="Times New Roman" w:hAnsi="Times New Roman" w:eastAsia="宋体" w:cs="Times New Roman"/>
        </w:rPr>
        <w:t>保障土地征收成片开发的顺利实施，由区政府成立土地征收成片开发领导小组，统一领导土地征收成片开发工作。各相关部门协作配合，做好方案编制实施中的技术指导与配套政策研究，实行区、镇（乡）、村三级联动管理，统一推进工作开展，明确各项目负责人的责任，保障土地征收成片开发方案的合理可行，确保后续实施可操作。</w:t>
      </w:r>
    </w:p>
    <w:p>
      <w:pPr>
        <w:rPr>
          <w:rFonts w:ascii="Times New Roman" w:hAnsi="Times New Roman" w:eastAsia="宋体" w:cs="Times New Roman"/>
        </w:rPr>
      </w:pPr>
      <w:r>
        <w:rPr>
          <w:rFonts w:ascii="Times New Roman" w:hAnsi="Times New Roman" w:eastAsia="宋体" w:cs="Times New Roman"/>
        </w:rPr>
        <w:t>进一步优化成片开发片区内各类土地空间置换和布局优化，强化部门协同，共同履行规划编制、项目申报、意见征求、审查论证等工作方式，确保项目申报、报批、建设有序推进。</w:t>
      </w:r>
    </w:p>
    <w:p>
      <w:pPr>
        <w:pStyle w:val="3"/>
        <w:numPr>
          <w:ilvl w:val="1"/>
          <w:numId w:val="1"/>
        </w:numPr>
        <w:ind w:firstLineChars="0"/>
        <w:rPr>
          <w:rFonts w:ascii="Times New Roman" w:hAnsi="Times New Roman" w:eastAsia="宋体" w:cs="Times New Roman"/>
        </w:rPr>
      </w:pPr>
      <w:bookmarkStart w:id="35" w:name="_Toc150354740"/>
      <w:r>
        <w:rPr>
          <w:rFonts w:ascii="Times New Roman" w:hAnsi="Times New Roman" w:eastAsia="宋体" w:cs="Times New Roman"/>
        </w:rPr>
        <w:t>经济保障</w:t>
      </w:r>
      <w:bookmarkEnd w:id="35"/>
    </w:p>
    <w:p>
      <w:pPr>
        <w:rPr>
          <w:rFonts w:ascii="Times New Roman" w:hAnsi="Times New Roman" w:eastAsia="宋体" w:cs="Times New Roman"/>
        </w:rPr>
      </w:pPr>
      <w:r>
        <w:rPr>
          <w:rFonts w:ascii="Times New Roman" w:hAnsi="Times New Roman" w:eastAsia="宋体" w:cs="Times New Roman"/>
        </w:rPr>
        <w:t>为保障被征地农民利益，征地价格按照《抚顺市人民政府办公室关于调整征地区片综合地价标准的通知》（抚政办规[2023]1号）的规定执行。青苗补偿费、集体土地上房屋及其他附着物补偿按照相关政策规定支付补偿费用，并安排被征地农民的社会保障费用，保障被征地农民原有生活水平不降低，长远生计有保障。</w:t>
      </w:r>
    </w:p>
    <w:p>
      <w:pPr>
        <w:pStyle w:val="3"/>
        <w:numPr>
          <w:ilvl w:val="1"/>
          <w:numId w:val="1"/>
        </w:numPr>
        <w:ind w:firstLineChars="0"/>
        <w:rPr>
          <w:rFonts w:ascii="Times New Roman" w:hAnsi="Times New Roman" w:eastAsia="宋体" w:cs="Times New Roman"/>
        </w:rPr>
      </w:pPr>
      <w:bookmarkStart w:id="36" w:name="_Toc150354741"/>
      <w:r>
        <w:rPr>
          <w:rFonts w:ascii="Times New Roman" w:hAnsi="Times New Roman" w:eastAsia="宋体" w:cs="Times New Roman"/>
        </w:rPr>
        <w:t>其他保障</w:t>
      </w:r>
      <w:bookmarkEnd w:id="36"/>
    </w:p>
    <w:p>
      <w:pPr>
        <w:rPr>
          <w:rFonts w:ascii="Times New Roman" w:hAnsi="Times New Roman" w:eastAsia="宋体" w:cs="Times New Roman"/>
        </w:rPr>
      </w:pPr>
      <w:r>
        <w:rPr>
          <w:rFonts w:ascii="Times New Roman" w:hAnsi="Times New Roman" w:eastAsia="宋体" w:cs="Times New Roman"/>
        </w:rPr>
        <w:t>成片开发方案按既定程序办理相关的建设手续并主动接受农村集体经济组织和农民、社会公众以及主管部门的监督管理，确保方案质量。</w:t>
      </w:r>
    </w:p>
    <w:p>
      <w:pPr>
        <w:rPr>
          <w:rFonts w:ascii="Times New Roman" w:hAnsi="Times New Roman" w:eastAsia="宋体" w:cs="Times New Roman"/>
        </w:rPr>
      </w:pPr>
      <w:r>
        <w:rPr>
          <w:rFonts w:ascii="Times New Roman" w:hAnsi="Times New Roman" w:eastAsia="宋体" w:cs="Times New Roman"/>
        </w:rPr>
        <w:t>（1）农村集体经济组织和农民监管</w:t>
      </w:r>
    </w:p>
    <w:p>
      <w:pPr>
        <w:rPr>
          <w:rFonts w:ascii="Times New Roman" w:hAnsi="Times New Roman" w:eastAsia="宋体" w:cs="Times New Roman"/>
        </w:rPr>
      </w:pPr>
      <w:r>
        <w:rPr>
          <w:rFonts w:ascii="Times New Roman" w:hAnsi="Times New Roman" w:eastAsia="宋体" w:cs="Times New Roman"/>
        </w:rPr>
        <w:t>方案完成后按既定程序，经所涉及农村集体经济组织成员的村民会议三分之二以上成员或者三分之二以上村民代表同意，由集体经济组织出具同意的有关证明，纳入开发方案。包含多个集体经济组织的，应分别达到各集体经济组织三分之二的比例。</w:t>
      </w:r>
    </w:p>
    <w:p>
      <w:pPr>
        <w:rPr>
          <w:rFonts w:ascii="Times New Roman" w:hAnsi="Times New Roman" w:eastAsia="宋体" w:cs="Times New Roman"/>
        </w:rPr>
      </w:pPr>
      <w:r>
        <w:rPr>
          <w:rFonts w:ascii="Times New Roman" w:hAnsi="Times New Roman" w:eastAsia="宋体" w:cs="Times New Roman"/>
        </w:rPr>
        <w:t>（2）社会公众监管</w:t>
      </w:r>
    </w:p>
    <w:p>
      <w:pPr>
        <w:rPr>
          <w:rFonts w:ascii="Times New Roman" w:hAnsi="Times New Roman" w:eastAsia="宋体" w:cs="Times New Roman"/>
        </w:rPr>
      </w:pPr>
      <w:r>
        <w:rPr>
          <w:rFonts w:ascii="Times New Roman" w:hAnsi="Times New Roman" w:eastAsia="宋体" w:cs="Times New Roman"/>
        </w:rPr>
        <w:t>充分听取人大代表、政协委员、社会公众和有关专家学者的意见。</w:t>
      </w:r>
      <w:r>
        <w:rPr>
          <w:rFonts w:hint="eastAsia" w:ascii="Times New Roman" w:hAnsi="Times New Roman" w:eastAsia="宋体" w:cs="Times New Roman"/>
        </w:rPr>
        <w:t>社会公众征求意见不得低于10日。</w:t>
      </w:r>
    </w:p>
    <w:p>
      <w:pPr>
        <w:rPr>
          <w:rFonts w:ascii="Times New Roman" w:hAnsi="Times New Roman" w:eastAsia="宋体" w:cs="Times New Roman"/>
        </w:rPr>
      </w:pPr>
      <w:r>
        <w:rPr>
          <w:rFonts w:ascii="Times New Roman" w:hAnsi="Times New Roman" w:eastAsia="宋体" w:cs="Times New Roman"/>
        </w:rPr>
        <w:t>（3）组织评审</w:t>
      </w:r>
    </w:p>
    <w:p>
      <w:pPr>
        <w:rPr>
          <w:rFonts w:ascii="Times New Roman" w:hAnsi="Times New Roman" w:eastAsia="宋体" w:cs="Times New Roman"/>
        </w:rPr>
      </w:pPr>
      <w:r>
        <w:rPr>
          <w:rFonts w:ascii="Times New Roman" w:hAnsi="Times New Roman" w:eastAsia="宋体" w:cs="Times New Roman"/>
        </w:rPr>
        <w:t>市自然资源局受区政府委托，组织人大代表、政协委员和土地、规划、经济、法律、环保、产业等方面的专家组成专家委员会，对成片开发方案进行论证，论证结论作为市政府批准土地征收成片开发方案的重要依据。</w:t>
      </w:r>
    </w:p>
    <w:p>
      <w:pPr>
        <w:rPr>
          <w:rFonts w:ascii="Times New Roman" w:hAnsi="Times New Roman" w:eastAsia="宋体" w:cs="Times New Roman"/>
        </w:rPr>
      </w:pPr>
      <w:r>
        <w:rPr>
          <w:rFonts w:ascii="Times New Roman" w:hAnsi="Times New Roman" w:eastAsia="宋体" w:cs="Times New Roman"/>
        </w:rPr>
        <w:t>方案实施的各阶段，项目各方应根据土地征收成片开发年度实施计划共同制定相关项目计划，明确工作分工及责任。</w:t>
      </w:r>
    </w:p>
    <w:p>
      <w:pPr>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落实耕地占补平衡和进行耕作层表土剥离</w:t>
      </w:r>
    </w:p>
    <w:p>
      <w:pPr>
        <w:rPr>
          <w:rFonts w:ascii="Times New Roman" w:hAnsi="Times New Roman" w:eastAsia="宋体" w:cs="Times New Roman"/>
        </w:rPr>
        <w:sectPr>
          <w:pgSz w:w="11906" w:h="16838"/>
          <w:pgMar w:top="1440" w:right="1800" w:bottom="1440" w:left="1800" w:header="851" w:footer="992" w:gutter="0"/>
          <w:cols w:space="425" w:num="1"/>
          <w:docGrid w:type="lines" w:linePitch="312" w:charSpace="0"/>
        </w:sectPr>
      </w:pPr>
      <w:r>
        <w:rPr>
          <w:rFonts w:hint="eastAsia" w:ascii="Times New Roman" w:hAnsi="Times New Roman" w:eastAsia="宋体" w:cs="Times New Roman"/>
        </w:rPr>
        <w:t>根据《中华人民共和国土地管理法》（2019年）非农建设经批准要按照“占多少，补多少”的耕地占补平衡基本原则，补充数量和质量相当的耕地，东洲区人民政府严格执行“占一补一、占优补优、占水田补水田”的占补平衡制度，按照非农建设占用耕地面积、地类、质量等别等，落实补充耕地数量、水田规模、粮食产能，做到补充耕地数量相当、质量相当、水田面积不减少。东洲区人民政府承诺涉及占用耕地的项目按照国家相关法律法规和政策征地前完成耕地占补平衡，保证耕地数量不减少，质量有提升。并且占用耕地前进行表土剥离。</w:t>
      </w:r>
    </w:p>
    <w:p>
      <w:pPr>
        <w:pStyle w:val="2"/>
        <w:numPr>
          <w:ilvl w:val="0"/>
          <w:numId w:val="0"/>
        </w:numPr>
        <w:ind w:left="1069"/>
        <w:rPr>
          <w:rFonts w:ascii="Times New Roman" w:hAnsi="Times New Roman" w:eastAsia="宋体" w:cs="Times New Roman"/>
        </w:rPr>
      </w:pPr>
      <w:bookmarkStart w:id="37" w:name="_Toc150354742"/>
      <w:r>
        <w:rPr>
          <w:rFonts w:ascii="Times New Roman" w:hAnsi="Times New Roman" w:eastAsia="宋体" w:cs="Times New Roman"/>
        </w:rPr>
        <w:t>附表</w:t>
      </w:r>
      <w:bookmarkEnd w:id="37"/>
    </w:p>
    <w:p>
      <w:pPr>
        <w:rPr>
          <w:rFonts w:ascii="Times New Roman" w:hAnsi="Times New Roman" w:eastAsia="宋体" w:cs="Times New Roman"/>
        </w:rPr>
      </w:pPr>
      <w:r>
        <w:rPr>
          <w:rFonts w:ascii="Times New Roman" w:hAnsi="Times New Roman" w:eastAsia="宋体" w:cs="Times New Roman"/>
        </w:rPr>
        <w:t xml:space="preserve">                        土地征收成片开发方案片区情况汇总表</w:t>
      </w:r>
    </w:p>
    <w:p>
      <w:pPr>
        <w:jc w:val="right"/>
        <w:rPr>
          <w:rFonts w:ascii="Times New Roman" w:hAnsi="Times New Roman" w:eastAsia="宋体" w:cs="Times New Roman"/>
        </w:rPr>
      </w:pPr>
      <w:r>
        <w:rPr>
          <w:rFonts w:ascii="Times New Roman" w:hAnsi="Times New Roman" w:eastAsia="宋体" w:cs="Times New Roman"/>
        </w:rPr>
        <w:t>单位：公顷、%</w:t>
      </w:r>
    </w:p>
    <w:tbl>
      <w:tblPr>
        <w:tblStyle w:val="13"/>
        <w:tblW w:w="5000" w:type="pct"/>
        <w:tblInd w:w="0" w:type="dxa"/>
        <w:tblLayout w:type="autofit"/>
        <w:tblCellMar>
          <w:top w:w="0" w:type="dxa"/>
          <w:left w:w="108" w:type="dxa"/>
          <w:bottom w:w="0" w:type="dxa"/>
          <w:right w:w="108" w:type="dxa"/>
        </w:tblCellMar>
      </w:tblPr>
      <w:tblGrid>
        <w:gridCol w:w="1056"/>
        <w:gridCol w:w="1896"/>
        <w:gridCol w:w="1884"/>
        <w:gridCol w:w="3888"/>
        <w:gridCol w:w="1476"/>
        <w:gridCol w:w="948"/>
        <w:gridCol w:w="2162"/>
        <w:gridCol w:w="864"/>
      </w:tblGrid>
      <w:tr>
        <w:tblPrEx>
          <w:tblCellMar>
            <w:top w:w="0" w:type="dxa"/>
            <w:left w:w="108" w:type="dxa"/>
            <w:bottom w:w="0" w:type="dxa"/>
            <w:right w:w="108" w:type="dxa"/>
          </w:tblCellMar>
        </w:tblPrEx>
        <w:trPr>
          <w:trHeight w:val="465" w:hRule="atLeast"/>
        </w:trPr>
        <w:tc>
          <w:tcPr>
            <w:tcW w:w="427" w:type="pct"/>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开发片区名称</w:t>
            </w:r>
          </w:p>
        </w:tc>
        <w:tc>
          <w:tcPr>
            <w:tcW w:w="427" w:type="pct"/>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所在乡（镇、街道）</w:t>
            </w:r>
          </w:p>
        </w:tc>
        <w:tc>
          <w:tcPr>
            <w:tcW w:w="784" w:type="pct"/>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功能定位和主要用途</w:t>
            </w:r>
          </w:p>
        </w:tc>
        <w:tc>
          <w:tcPr>
            <w:tcW w:w="1737" w:type="pct"/>
            <w:gridSpan w:val="2"/>
            <w:tcBorders>
              <w:top w:val="single" w:color="auto" w:sz="8" w:space="0"/>
              <w:left w:val="nil"/>
              <w:bottom w:val="single" w:color="auto" w:sz="8" w:space="0"/>
              <w:right w:val="single" w:color="000000"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土地总面积</w:t>
            </w:r>
          </w:p>
        </w:tc>
        <w:tc>
          <w:tcPr>
            <w:tcW w:w="427" w:type="pct"/>
            <w:vMerge w:val="restart"/>
            <w:tcBorders>
              <w:top w:val="single" w:color="auto" w:sz="8" w:space="0"/>
              <w:left w:val="nil"/>
              <w:bottom w:val="single" w:color="000000"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拟征地面积</w:t>
            </w:r>
          </w:p>
        </w:tc>
        <w:tc>
          <w:tcPr>
            <w:tcW w:w="1197" w:type="pct"/>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公益性用地面积及比例</w:t>
            </w:r>
          </w:p>
        </w:tc>
      </w:tr>
      <w:tr>
        <w:tblPrEx>
          <w:tblCellMar>
            <w:top w:w="0" w:type="dxa"/>
            <w:left w:w="108" w:type="dxa"/>
            <w:bottom w:w="0" w:type="dxa"/>
            <w:right w:w="108" w:type="dxa"/>
          </w:tblCellMar>
        </w:tblPrEx>
        <w:trPr>
          <w:trHeight w:val="300" w:hRule="atLeast"/>
        </w:trPr>
        <w:tc>
          <w:tcPr>
            <w:tcW w:w="427" w:type="pct"/>
            <w:vMerge w:val="continue"/>
            <w:tcBorders>
              <w:top w:val="single" w:color="auto" w:sz="8" w:space="0"/>
              <w:left w:val="single" w:color="auto" w:sz="8" w:space="0"/>
              <w:bottom w:val="single" w:color="000000" w:sz="8" w:space="0"/>
              <w:right w:val="single" w:color="auto" w:sz="8" w:space="0"/>
            </w:tcBorders>
            <w:vAlign w:val="center"/>
          </w:tcPr>
          <w:p>
            <w:pPr>
              <w:widowControl/>
              <w:spacing w:line="240" w:lineRule="auto"/>
              <w:ind w:firstLine="0" w:firstLineChars="0"/>
              <w:rPr>
                <w:rFonts w:ascii="宋体" w:hAnsi="宋体" w:eastAsia="宋体" w:cs="宋体"/>
                <w:color w:val="000000"/>
                <w:kern w:val="0"/>
                <w:sz w:val="21"/>
                <w:szCs w:val="21"/>
              </w:rPr>
            </w:pPr>
          </w:p>
        </w:tc>
        <w:tc>
          <w:tcPr>
            <w:tcW w:w="427" w:type="pct"/>
            <w:vMerge w:val="continue"/>
            <w:tcBorders>
              <w:top w:val="single" w:color="auto" w:sz="8" w:space="0"/>
              <w:left w:val="single" w:color="auto" w:sz="8" w:space="0"/>
              <w:bottom w:val="single" w:color="000000" w:sz="8" w:space="0"/>
              <w:right w:val="single" w:color="auto" w:sz="8" w:space="0"/>
            </w:tcBorders>
            <w:vAlign w:val="center"/>
          </w:tcPr>
          <w:p>
            <w:pPr>
              <w:widowControl/>
              <w:spacing w:line="240" w:lineRule="auto"/>
              <w:ind w:firstLine="0" w:firstLineChars="0"/>
              <w:rPr>
                <w:rFonts w:ascii="宋体" w:hAnsi="宋体" w:eastAsia="宋体" w:cs="宋体"/>
                <w:color w:val="000000"/>
                <w:kern w:val="0"/>
                <w:sz w:val="21"/>
                <w:szCs w:val="21"/>
              </w:rPr>
            </w:pPr>
          </w:p>
        </w:tc>
        <w:tc>
          <w:tcPr>
            <w:tcW w:w="784" w:type="pct"/>
            <w:vMerge w:val="continue"/>
            <w:tcBorders>
              <w:top w:val="single" w:color="auto" w:sz="8" w:space="0"/>
              <w:left w:val="single" w:color="auto" w:sz="8" w:space="0"/>
              <w:bottom w:val="single" w:color="000000" w:sz="8" w:space="0"/>
              <w:right w:val="single" w:color="auto" w:sz="8" w:space="0"/>
            </w:tcBorders>
            <w:vAlign w:val="center"/>
          </w:tcPr>
          <w:p>
            <w:pPr>
              <w:widowControl/>
              <w:spacing w:line="240" w:lineRule="auto"/>
              <w:ind w:firstLine="0" w:firstLineChars="0"/>
              <w:rPr>
                <w:rFonts w:ascii="宋体" w:hAnsi="宋体" w:eastAsia="宋体" w:cs="宋体"/>
                <w:color w:val="000000"/>
                <w:kern w:val="0"/>
                <w:sz w:val="21"/>
                <w:szCs w:val="21"/>
              </w:rPr>
            </w:pPr>
          </w:p>
        </w:tc>
        <w:tc>
          <w:tcPr>
            <w:tcW w:w="1464" w:type="pct"/>
            <w:tcBorders>
              <w:top w:val="nil"/>
              <w:left w:val="nil"/>
              <w:bottom w:val="single" w:color="auto" w:sz="8" w:space="0"/>
              <w:right w:val="single" w:color="auto" w:sz="8" w:space="0"/>
            </w:tcBorders>
            <w:shd w:val="clear" w:color="auto" w:fill="auto"/>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　</w:t>
            </w:r>
          </w:p>
        </w:tc>
        <w:tc>
          <w:tcPr>
            <w:tcW w:w="27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其中耕地面积</w:t>
            </w:r>
          </w:p>
        </w:tc>
        <w:tc>
          <w:tcPr>
            <w:tcW w:w="427" w:type="pct"/>
            <w:vMerge w:val="continue"/>
            <w:tcBorders>
              <w:top w:val="single" w:color="auto" w:sz="8" w:space="0"/>
              <w:left w:val="nil"/>
              <w:bottom w:val="single" w:color="000000" w:sz="8" w:space="0"/>
              <w:right w:val="single" w:color="auto" w:sz="8" w:space="0"/>
            </w:tcBorders>
            <w:vAlign w:val="center"/>
          </w:tcPr>
          <w:p>
            <w:pPr>
              <w:widowControl/>
              <w:spacing w:line="240" w:lineRule="auto"/>
              <w:ind w:firstLine="0" w:firstLineChars="0"/>
              <w:rPr>
                <w:rFonts w:ascii="宋体" w:hAnsi="宋体" w:eastAsia="宋体" w:cs="宋体"/>
                <w:color w:val="000000"/>
                <w:kern w:val="0"/>
                <w:sz w:val="21"/>
                <w:szCs w:val="21"/>
              </w:rPr>
            </w:pPr>
          </w:p>
        </w:tc>
        <w:tc>
          <w:tcPr>
            <w:tcW w:w="1197" w:type="pct"/>
            <w:gridSpan w:val="2"/>
            <w:vMerge w:val="continue"/>
            <w:tcBorders>
              <w:top w:val="single" w:color="auto" w:sz="8" w:space="0"/>
              <w:left w:val="single" w:color="auto" w:sz="8" w:space="0"/>
              <w:bottom w:val="single" w:color="000000" w:sz="8" w:space="0"/>
              <w:right w:val="single" w:color="000000" w:sz="8" w:space="0"/>
            </w:tcBorders>
            <w:vAlign w:val="center"/>
          </w:tcPr>
          <w:p>
            <w:pPr>
              <w:widowControl/>
              <w:spacing w:line="240" w:lineRule="auto"/>
              <w:ind w:firstLine="0" w:firstLineChars="0"/>
              <w:rPr>
                <w:rFonts w:ascii="宋体" w:hAnsi="宋体" w:eastAsia="宋体" w:cs="宋体"/>
                <w:color w:val="000000"/>
                <w:kern w:val="0"/>
                <w:sz w:val="21"/>
                <w:szCs w:val="21"/>
              </w:rPr>
            </w:pPr>
          </w:p>
        </w:tc>
      </w:tr>
      <w:tr>
        <w:tblPrEx>
          <w:tblCellMar>
            <w:top w:w="0" w:type="dxa"/>
            <w:left w:w="108" w:type="dxa"/>
            <w:bottom w:w="0" w:type="dxa"/>
            <w:right w:w="108" w:type="dxa"/>
          </w:tblCellMar>
        </w:tblPrEx>
        <w:trPr>
          <w:trHeight w:val="300" w:hRule="atLeast"/>
        </w:trPr>
        <w:tc>
          <w:tcPr>
            <w:tcW w:w="427" w:type="pct"/>
            <w:tcBorders>
              <w:top w:val="nil"/>
              <w:left w:val="single" w:color="auto" w:sz="8" w:space="0"/>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东洲片区</w:t>
            </w:r>
          </w:p>
        </w:tc>
        <w:tc>
          <w:tcPr>
            <w:tcW w:w="427"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碾盘乡、章党街道</w:t>
            </w:r>
          </w:p>
        </w:tc>
        <w:tc>
          <w:tcPr>
            <w:tcW w:w="784"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宋体" w:hAnsi="宋体" w:eastAsia="宋体" w:cs="宋体"/>
                <w:color w:val="000000"/>
                <w:kern w:val="0"/>
                <w:sz w:val="21"/>
                <w:szCs w:val="21"/>
              </w:rPr>
            </w:pPr>
            <w:r>
              <w:rPr>
                <w:rFonts w:hint="eastAsia" w:ascii="宋体" w:hAnsi="宋体" w:eastAsia="宋体" w:cs="宋体"/>
                <w:color w:val="000000"/>
                <w:kern w:val="0"/>
                <w:sz w:val="21"/>
                <w:szCs w:val="21"/>
              </w:rPr>
              <w:t>工业</w:t>
            </w:r>
          </w:p>
        </w:tc>
        <w:tc>
          <w:tcPr>
            <w:tcW w:w="1464"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8.1578</w:t>
            </w:r>
          </w:p>
        </w:tc>
        <w:tc>
          <w:tcPr>
            <w:tcW w:w="273"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0.928</w:t>
            </w:r>
          </w:p>
        </w:tc>
        <w:tc>
          <w:tcPr>
            <w:tcW w:w="427"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1.2976</w:t>
            </w:r>
          </w:p>
        </w:tc>
        <w:tc>
          <w:tcPr>
            <w:tcW w:w="855"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1.4344</w:t>
            </w:r>
          </w:p>
        </w:tc>
        <w:tc>
          <w:tcPr>
            <w:tcW w:w="342" w:type="pct"/>
            <w:tcBorders>
              <w:top w:val="nil"/>
              <w:left w:val="nil"/>
              <w:bottom w:val="single" w:color="auto" w:sz="8" w:space="0"/>
              <w:right w:val="single" w:color="auto" w:sz="8" w:space="0"/>
            </w:tcBorders>
            <w:shd w:val="clear" w:color="auto" w:fill="auto"/>
            <w:noWrap/>
            <w:vAlign w:val="center"/>
          </w:tcPr>
          <w:p>
            <w:pPr>
              <w:widowControl/>
              <w:spacing w:line="240" w:lineRule="auto"/>
              <w:ind w:firstLine="0" w:firstLineChars="0"/>
              <w:jc w:val="center"/>
              <w:rPr>
                <w:rFonts w:ascii="Times New Roman" w:hAnsi="Times New Roman" w:eastAsia="等线" w:cs="Times New Roman"/>
                <w:color w:val="000000"/>
                <w:kern w:val="0"/>
                <w:sz w:val="21"/>
                <w:szCs w:val="21"/>
              </w:rPr>
            </w:pPr>
            <w:r>
              <w:rPr>
                <w:rFonts w:ascii="Times New Roman" w:hAnsi="Times New Roman" w:eastAsia="等线" w:cs="Times New Roman"/>
                <w:color w:val="000000"/>
                <w:kern w:val="0"/>
                <w:sz w:val="21"/>
                <w:szCs w:val="21"/>
              </w:rPr>
              <w:t>17.58%</w:t>
            </w:r>
          </w:p>
        </w:tc>
      </w:tr>
    </w:tbl>
    <w:p>
      <w:pPr>
        <w:tabs>
          <w:tab w:val="left" w:pos="4713"/>
        </w:tabs>
        <w:ind w:firstLine="0" w:firstLineChars="0"/>
        <w:rPr>
          <w:rFonts w:ascii="Times New Roman" w:hAnsi="Times New Roman" w:eastAsia="宋体" w:cs="Times New Roman"/>
        </w:rPr>
      </w:pPr>
    </w:p>
    <w:p>
      <w:pPr>
        <w:jc w:val="center"/>
        <w:rPr>
          <w:rFonts w:ascii="Times New Roman" w:hAnsi="Times New Roman" w:eastAsia="宋体" w:cs="Times New Roman"/>
        </w:rPr>
      </w:pPr>
      <w:r>
        <w:rPr>
          <w:rFonts w:ascii="Times New Roman" w:hAnsi="Times New Roman" w:eastAsia="宋体" w:cs="Times New Roman"/>
        </w:rPr>
        <w:t>土地征收成片开发方案片区情况汇总表</w:t>
      </w:r>
    </w:p>
    <w:p>
      <w:pPr>
        <w:jc w:val="right"/>
        <w:rPr>
          <w:rFonts w:ascii="Times New Roman" w:hAnsi="Times New Roman" w:eastAsia="宋体" w:cs="Times New Roman"/>
        </w:rPr>
      </w:pPr>
      <w:r>
        <w:rPr>
          <w:rFonts w:ascii="Times New Roman" w:hAnsi="Times New Roman" w:eastAsia="宋体" w:cs="Times New Roman"/>
        </w:rPr>
        <w:t>单位：公顷</w:t>
      </w:r>
    </w:p>
    <w:tbl>
      <w:tblPr>
        <w:tblStyle w:val="13"/>
        <w:tblW w:w="13948" w:type="dxa"/>
        <w:tblInd w:w="0" w:type="dxa"/>
        <w:tblLayout w:type="autofit"/>
        <w:tblCellMar>
          <w:top w:w="0" w:type="dxa"/>
          <w:left w:w="108" w:type="dxa"/>
          <w:bottom w:w="0" w:type="dxa"/>
          <w:right w:w="108" w:type="dxa"/>
        </w:tblCellMar>
      </w:tblPr>
      <w:tblGrid>
        <w:gridCol w:w="668"/>
        <w:gridCol w:w="1109"/>
        <w:gridCol w:w="1109"/>
        <w:gridCol w:w="1109"/>
        <w:gridCol w:w="2433"/>
        <w:gridCol w:w="2433"/>
        <w:gridCol w:w="2433"/>
        <w:gridCol w:w="2654"/>
      </w:tblGrid>
      <w:tr>
        <w:tblPrEx>
          <w:tblCellMar>
            <w:top w:w="0" w:type="dxa"/>
            <w:left w:w="108" w:type="dxa"/>
            <w:bottom w:w="0" w:type="dxa"/>
            <w:right w:w="108" w:type="dxa"/>
          </w:tblCellMar>
        </w:tblPrEx>
        <w:trPr>
          <w:trHeight w:val="478"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序号</w:t>
            </w:r>
          </w:p>
        </w:tc>
        <w:tc>
          <w:tcPr>
            <w:tcW w:w="0" w:type="auto"/>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地块名称</w:t>
            </w:r>
          </w:p>
        </w:tc>
        <w:tc>
          <w:tcPr>
            <w:tcW w:w="0" w:type="auto"/>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位置坐落</w:t>
            </w:r>
          </w:p>
        </w:tc>
        <w:tc>
          <w:tcPr>
            <w:tcW w:w="0" w:type="auto"/>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地块面积</w:t>
            </w:r>
          </w:p>
        </w:tc>
        <w:tc>
          <w:tcPr>
            <w:tcW w:w="0" w:type="auto"/>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其中征收集体土地面积</w:t>
            </w:r>
          </w:p>
        </w:tc>
        <w:tc>
          <w:tcPr>
            <w:tcW w:w="0" w:type="auto"/>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是否符合国土空间规划</w:t>
            </w:r>
          </w:p>
        </w:tc>
        <w:tc>
          <w:tcPr>
            <w:tcW w:w="0" w:type="auto"/>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是否占有永久基本农田</w:t>
            </w:r>
          </w:p>
        </w:tc>
        <w:tc>
          <w:tcPr>
            <w:tcW w:w="0" w:type="auto"/>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备注</w:t>
            </w:r>
          </w:p>
        </w:tc>
      </w:tr>
      <w:tr>
        <w:tblPrEx>
          <w:tblCellMar>
            <w:top w:w="0" w:type="dxa"/>
            <w:left w:w="108" w:type="dxa"/>
            <w:bottom w:w="0" w:type="dxa"/>
            <w:right w:w="108" w:type="dxa"/>
          </w:tblCellMar>
        </w:tblPrEx>
        <w:trPr>
          <w:trHeight w:val="293"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1</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DK-1</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碾盘乡</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0.8922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0.8922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是</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否</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以土地征收成片开发情形</w:t>
            </w:r>
          </w:p>
        </w:tc>
      </w:tr>
      <w:tr>
        <w:tblPrEx>
          <w:tblCellMar>
            <w:top w:w="0" w:type="dxa"/>
            <w:left w:w="108" w:type="dxa"/>
            <w:bottom w:w="0" w:type="dxa"/>
            <w:right w:w="108" w:type="dxa"/>
          </w:tblCellMar>
        </w:tblPrEx>
        <w:trPr>
          <w:trHeight w:val="293"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DK-2</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章党街道</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0.4054</w:t>
            </w:r>
          </w:p>
        </w:tc>
        <w:tc>
          <w:tcPr>
            <w:tcW w:w="0" w:type="auto"/>
            <w:tcBorders>
              <w:top w:val="nil"/>
              <w:left w:val="nil"/>
              <w:bottom w:val="single" w:color="auto" w:sz="4" w:space="0"/>
              <w:right w:val="single" w:color="auto" w:sz="4" w:space="0"/>
            </w:tcBorders>
            <w:shd w:val="clear" w:color="auto" w:fill="auto"/>
            <w:noWrap/>
            <w:vAlign w:val="bottom"/>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0.4054</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是</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否</w:t>
            </w:r>
          </w:p>
        </w:tc>
        <w:tc>
          <w:tcPr>
            <w:tcW w:w="0" w:type="auto"/>
            <w:tcBorders>
              <w:top w:val="nil"/>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以土地征收成片开发情形</w:t>
            </w:r>
          </w:p>
        </w:tc>
      </w:tr>
    </w:tbl>
    <w:p>
      <w:pPr>
        <w:tabs>
          <w:tab w:val="left" w:pos="2924"/>
        </w:tabs>
        <w:rPr>
          <w:rFonts w:ascii="Times New Roman" w:hAnsi="Times New Roman" w:eastAsia="宋体" w:cs="Times New Roman"/>
        </w:rPr>
      </w:pPr>
    </w:p>
    <w:p>
      <w:pPr>
        <w:rPr>
          <w:rFonts w:ascii="Times New Roman" w:hAnsi="Times New Roman" w:eastAsia="宋体" w:cs="Times New Roman"/>
        </w:rPr>
        <w:sectPr>
          <w:pgSz w:w="16838" w:h="11906" w:orient="landscape"/>
          <w:pgMar w:top="1800" w:right="1440" w:bottom="1800" w:left="1440" w:header="851" w:footer="992" w:gutter="0"/>
          <w:cols w:space="425" w:num="1"/>
          <w:docGrid w:type="lines" w:linePitch="381" w:charSpace="0"/>
        </w:sectPr>
      </w:pPr>
    </w:p>
    <w:p>
      <w:pPr>
        <w:tabs>
          <w:tab w:val="left" w:pos="2924"/>
        </w:tabs>
        <w:ind w:firstLine="0" w:firstLineChars="0"/>
        <w:rPr>
          <w:rFonts w:hint="eastAsia" w:ascii="Times New Roman" w:hAnsi="Times New Roman" w:eastAsia="宋体" w:cs="Times New Roman"/>
        </w:rPr>
      </w:pPr>
    </w:p>
    <w:sectPr>
      <w:pgSz w:w="16838" w:h="11906" w:orient="landscape"/>
      <w:pgMar w:top="1800" w:right="1440" w:bottom="1800" w:left="1440" w:header="851" w:footer="992" w:gutter="0"/>
      <w:cols w:space="425" w:num="1"/>
      <w:docGrid w:type="lines"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2000000" w:usb3="00000000" w:csb0="0000019F" w:csb1="00000000"/>
  </w:font>
  <w:font w:name="等线">
    <w:altName w:val="华文行楷"/>
    <w:panose1 w:val="02010600030101010101"/>
    <w:charset w:val="86"/>
    <w:family w:val="auto"/>
    <w:pitch w:val="default"/>
    <w:sig w:usb0="00000000" w:usb1="00000000" w:usb2="00000016"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FreeSerif">
    <w:panose1 w:val="02020603050405020304"/>
    <w:charset w:val="00"/>
    <w:family w:val="auto"/>
    <w:pitch w:val="default"/>
    <w:sig w:usb0="E59FAFFF" w:usb1="C200FDFF" w:usb2="43501B29" w:usb3="04000043" w:csb0="600101FF" w:csb1="FFFF0000"/>
  </w:font>
  <w:font w:name="Liberation Serif">
    <w:panose1 w:val="02020603050405020304"/>
    <w:charset w:val="00"/>
    <w:family w:val="auto"/>
    <w:pitch w:val="default"/>
    <w:sig w:usb0="A00002AF" w:usb1="500078FB" w:usb2="00000000" w:usb3="00000000" w:csb0="6000009F" w:csb1="DFD70000"/>
  </w:font>
  <w:font w:name="华文行楷">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p>
    <w:pPr>
      <w:pStyle w:val="8"/>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68648370"/>
      <w:docPartObj>
        <w:docPartGallery w:val="AutoText"/>
      </w:docPartObj>
    </w:sdtPr>
    <w:sdtContent>
      <w:p>
        <w:pPr>
          <w:pStyle w:val="8"/>
          <w:ind w:firstLine="360"/>
          <w:jc w:val="center"/>
        </w:pPr>
        <w:r>
          <w:fldChar w:fldCharType="begin"/>
        </w:r>
        <w:r>
          <w:instrText xml:space="preserve">PAGE   \* MERGEFORMAT</w:instrText>
        </w:r>
        <w:r>
          <w:fldChar w:fldCharType="separate"/>
        </w:r>
        <w:r>
          <w:rPr>
            <w:lang w:val="zh-CN"/>
          </w:rPr>
          <w:t>2</w:t>
        </w:r>
        <w:r>
          <w:fldChar w:fldCharType="end"/>
        </w:r>
      </w:p>
    </w:sdtContent>
  </w:sdt>
  <w:p>
    <w:pPr>
      <w:pStyle w:val="8"/>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58175450"/>
      <w:docPartObj>
        <w:docPartGallery w:val="AutoText"/>
      </w:docPartObj>
    </w:sdtPr>
    <w:sdtContent>
      <w:p>
        <w:pPr>
          <w:pStyle w:val="8"/>
          <w:ind w:firstLine="360"/>
          <w:jc w:val="center"/>
        </w:pPr>
        <w:r>
          <w:fldChar w:fldCharType="begin"/>
        </w:r>
        <w:r>
          <w:instrText xml:space="preserve">PAGE   \* MERGEFORMAT</w:instrText>
        </w:r>
        <w:r>
          <w:fldChar w:fldCharType="separate"/>
        </w:r>
        <w:r>
          <w:rPr>
            <w:lang w:val="zh-CN"/>
          </w:rPr>
          <w:t>2</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560"/>
      </w:pPr>
      <w:r>
        <w:separator/>
      </w:r>
    </w:p>
  </w:footnote>
  <w:footnote w:type="continuationSeparator" w:id="1">
    <w:p>
      <w:pPr>
        <w:spacing w:line="24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r>
      <w:rPr>
        <w:rFonts w:hint="eastAsia"/>
      </w:rPr>
      <w:t>抚顺市东洲区2023年土地征收成片开发方案（第3批）</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5F6AE3"/>
    <w:multiLevelType w:val="multilevel"/>
    <w:tmpl w:val="1D5F6AE3"/>
    <w:lvl w:ilvl="0" w:tentative="0">
      <w:start w:val="1"/>
      <w:numFmt w:val="decimal"/>
      <w:pStyle w:val="2"/>
      <w:lvlText w:val="%1"/>
      <w:lvlJc w:val="left"/>
      <w:pPr>
        <w:ind w:left="561" w:hanging="420"/>
      </w:pPr>
      <w:rPr>
        <w:rFonts w:hint="eastAsia"/>
      </w:rPr>
    </w:lvl>
    <w:lvl w:ilvl="1" w:tentative="0">
      <w:start w:val="1"/>
      <w:numFmt w:val="decimal"/>
      <w:isLgl/>
      <w:lvlText w:val="%1.%2"/>
      <w:lvlJc w:val="left"/>
      <w:pPr>
        <w:ind w:left="1172" w:hanging="570"/>
      </w:pPr>
      <w:rPr>
        <w:rFonts w:hint="default"/>
      </w:rPr>
    </w:lvl>
    <w:lvl w:ilvl="2" w:tentative="0">
      <w:start w:val="1"/>
      <w:numFmt w:val="decimal"/>
      <w:isLgl/>
      <w:lvlText w:val="%1.%2.%3"/>
      <w:lvlJc w:val="left"/>
      <w:pPr>
        <w:ind w:left="1924" w:hanging="720"/>
      </w:pPr>
      <w:rPr>
        <w:rFonts w:hint="default"/>
      </w:rPr>
    </w:lvl>
    <w:lvl w:ilvl="3" w:tentative="0">
      <w:start w:val="1"/>
      <w:numFmt w:val="decimal"/>
      <w:isLgl/>
      <w:lvlText w:val="%1.%2.%3.%4"/>
      <w:lvlJc w:val="left"/>
      <w:pPr>
        <w:ind w:left="2886" w:hanging="1080"/>
      </w:pPr>
      <w:rPr>
        <w:rFonts w:hint="default"/>
      </w:rPr>
    </w:lvl>
    <w:lvl w:ilvl="4" w:tentative="0">
      <w:start w:val="1"/>
      <w:numFmt w:val="decimal"/>
      <w:isLgl/>
      <w:lvlText w:val="%1.%2.%3.%4.%5"/>
      <w:lvlJc w:val="left"/>
      <w:pPr>
        <w:ind w:left="3488" w:hanging="1080"/>
      </w:pPr>
      <w:rPr>
        <w:rFonts w:hint="default"/>
      </w:rPr>
    </w:lvl>
    <w:lvl w:ilvl="5" w:tentative="0">
      <w:start w:val="1"/>
      <w:numFmt w:val="decimal"/>
      <w:isLgl/>
      <w:lvlText w:val="%1.%2.%3.%4.%5.%6"/>
      <w:lvlJc w:val="left"/>
      <w:pPr>
        <w:ind w:left="4450" w:hanging="1440"/>
      </w:pPr>
      <w:rPr>
        <w:rFonts w:hint="default"/>
      </w:rPr>
    </w:lvl>
    <w:lvl w:ilvl="6" w:tentative="0">
      <w:start w:val="1"/>
      <w:numFmt w:val="decimal"/>
      <w:isLgl/>
      <w:lvlText w:val="%1.%2.%3.%4.%5.%6.%7"/>
      <w:lvlJc w:val="left"/>
      <w:pPr>
        <w:ind w:left="5052" w:hanging="1440"/>
      </w:pPr>
      <w:rPr>
        <w:rFonts w:hint="default"/>
      </w:rPr>
    </w:lvl>
    <w:lvl w:ilvl="7" w:tentative="0">
      <w:start w:val="1"/>
      <w:numFmt w:val="decimal"/>
      <w:isLgl/>
      <w:lvlText w:val="%1.%2.%3.%4.%5.%6.%7.%8"/>
      <w:lvlJc w:val="left"/>
      <w:pPr>
        <w:ind w:left="6014" w:hanging="1800"/>
      </w:pPr>
      <w:rPr>
        <w:rFonts w:hint="default"/>
      </w:rPr>
    </w:lvl>
    <w:lvl w:ilvl="8" w:tentative="0">
      <w:start w:val="1"/>
      <w:numFmt w:val="decimal"/>
      <w:isLgl/>
      <w:lvlText w:val="%1.%2.%3.%4.%5.%6.%7.%8.%9"/>
      <w:lvlJc w:val="left"/>
      <w:pPr>
        <w:ind w:left="6976" w:hanging="2160"/>
      </w:pPr>
      <w:rPr>
        <w:rFont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HorizontalSpacing w:val="140"/>
  <w:drawingGridVerticalSpacing w:val="381"/>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4B7F"/>
    <w:rsid w:val="00000E33"/>
    <w:rsid w:val="00000EE4"/>
    <w:rsid w:val="0000164C"/>
    <w:rsid w:val="00002897"/>
    <w:rsid w:val="00004A7E"/>
    <w:rsid w:val="00004D74"/>
    <w:rsid w:val="00005ECB"/>
    <w:rsid w:val="0000620B"/>
    <w:rsid w:val="000077D4"/>
    <w:rsid w:val="00010AF5"/>
    <w:rsid w:val="00012AC9"/>
    <w:rsid w:val="0001397F"/>
    <w:rsid w:val="000142C7"/>
    <w:rsid w:val="00016CC2"/>
    <w:rsid w:val="00020ADE"/>
    <w:rsid w:val="000210AA"/>
    <w:rsid w:val="00023663"/>
    <w:rsid w:val="00023AA2"/>
    <w:rsid w:val="00023F0F"/>
    <w:rsid w:val="000243F7"/>
    <w:rsid w:val="00025C07"/>
    <w:rsid w:val="00031452"/>
    <w:rsid w:val="00031DBF"/>
    <w:rsid w:val="000337AE"/>
    <w:rsid w:val="00034A35"/>
    <w:rsid w:val="000366CA"/>
    <w:rsid w:val="00040FC1"/>
    <w:rsid w:val="000413FF"/>
    <w:rsid w:val="00041A1D"/>
    <w:rsid w:val="00045CA5"/>
    <w:rsid w:val="000471AD"/>
    <w:rsid w:val="00047685"/>
    <w:rsid w:val="00047DA2"/>
    <w:rsid w:val="000500BC"/>
    <w:rsid w:val="0005050F"/>
    <w:rsid w:val="00050CC5"/>
    <w:rsid w:val="00051213"/>
    <w:rsid w:val="00051C93"/>
    <w:rsid w:val="0005219F"/>
    <w:rsid w:val="000544BF"/>
    <w:rsid w:val="00054946"/>
    <w:rsid w:val="00054D08"/>
    <w:rsid w:val="000562F3"/>
    <w:rsid w:val="00056379"/>
    <w:rsid w:val="00056507"/>
    <w:rsid w:val="00057DB8"/>
    <w:rsid w:val="00060B78"/>
    <w:rsid w:val="000616D7"/>
    <w:rsid w:val="00061CCF"/>
    <w:rsid w:val="000624BD"/>
    <w:rsid w:val="00063A3A"/>
    <w:rsid w:val="00065A06"/>
    <w:rsid w:val="00065BB6"/>
    <w:rsid w:val="00066CE7"/>
    <w:rsid w:val="00067620"/>
    <w:rsid w:val="00067ACF"/>
    <w:rsid w:val="00067E5A"/>
    <w:rsid w:val="000706FC"/>
    <w:rsid w:val="000710C8"/>
    <w:rsid w:val="000719D0"/>
    <w:rsid w:val="00071ADE"/>
    <w:rsid w:val="00072154"/>
    <w:rsid w:val="00072F18"/>
    <w:rsid w:val="000741DF"/>
    <w:rsid w:val="00074311"/>
    <w:rsid w:val="00076B99"/>
    <w:rsid w:val="0007722C"/>
    <w:rsid w:val="000777A4"/>
    <w:rsid w:val="00077A7D"/>
    <w:rsid w:val="00077C73"/>
    <w:rsid w:val="0008004F"/>
    <w:rsid w:val="000801F7"/>
    <w:rsid w:val="00081B90"/>
    <w:rsid w:val="00082BA9"/>
    <w:rsid w:val="000847C0"/>
    <w:rsid w:val="00084FB5"/>
    <w:rsid w:val="00085365"/>
    <w:rsid w:val="00086AA4"/>
    <w:rsid w:val="00090B60"/>
    <w:rsid w:val="00093951"/>
    <w:rsid w:val="00093ECD"/>
    <w:rsid w:val="000942F2"/>
    <w:rsid w:val="0009477E"/>
    <w:rsid w:val="00094CE9"/>
    <w:rsid w:val="00097F5F"/>
    <w:rsid w:val="000A186C"/>
    <w:rsid w:val="000A2397"/>
    <w:rsid w:val="000A2808"/>
    <w:rsid w:val="000A2E06"/>
    <w:rsid w:val="000A30C4"/>
    <w:rsid w:val="000A37FF"/>
    <w:rsid w:val="000A39D4"/>
    <w:rsid w:val="000A3BBD"/>
    <w:rsid w:val="000A44A4"/>
    <w:rsid w:val="000A49A3"/>
    <w:rsid w:val="000A4B7F"/>
    <w:rsid w:val="000A4D7D"/>
    <w:rsid w:val="000A62E5"/>
    <w:rsid w:val="000A6C4F"/>
    <w:rsid w:val="000A714B"/>
    <w:rsid w:val="000B1095"/>
    <w:rsid w:val="000B1476"/>
    <w:rsid w:val="000B2C09"/>
    <w:rsid w:val="000B3D17"/>
    <w:rsid w:val="000B42F2"/>
    <w:rsid w:val="000B5330"/>
    <w:rsid w:val="000B5C17"/>
    <w:rsid w:val="000B5FBD"/>
    <w:rsid w:val="000B6178"/>
    <w:rsid w:val="000B6387"/>
    <w:rsid w:val="000B7BA2"/>
    <w:rsid w:val="000C0084"/>
    <w:rsid w:val="000C07AD"/>
    <w:rsid w:val="000C0E04"/>
    <w:rsid w:val="000C11A1"/>
    <w:rsid w:val="000C1381"/>
    <w:rsid w:val="000C2154"/>
    <w:rsid w:val="000C22F8"/>
    <w:rsid w:val="000C271C"/>
    <w:rsid w:val="000C33FA"/>
    <w:rsid w:val="000C5AD7"/>
    <w:rsid w:val="000C7980"/>
    <w:rsid w:val="000D0036"/>
    <w:rsid w:val="000D020B"/>
    <w:rsid w:val="000D02AC"/>
    <w:rsid w:val="000D0B16"/>
    <w:rsid w:val="000D337F"/>
    <w:rsid w:val="000D3AF9"/>
    <w:rsid w:val="000D42F4"/>
    <w:rsid w:val="000D43A7"/>
    <w:rsid w:val="000D635A"/>
    <w:rsid w:val="000D77F7"/>
    <w:rsid w:val="000D7CD2"/>
    <w:rsid w:val="000E0BB3"/>
    <w:rsid w:val="000E20A1"/>
    <w:rsid w:val="000E3685"/>
    <w:rsid w:val="000E3775"/>
    <w:rsid w:val="000E3C78"/>
    <w:rsid w:val="000E5712"/>
    <w:rsid w:val="000E5D69"/>
    <w:rsid w:val="000E5F26"/>
    <w:rsid w:val="000E6518"/>
    <w:rsid w:val="000F1FC9"/>
    <w:rsid w:val="000F4E2F"/>
    <w:rsid w:val="000F6C53"/>
    <w:rsid w:val="000F6CE8"/>
    <w:rsid w:val="000F777E"/>
    <w:rsid w:val="0010093E"/>
    <w:rsid w:val="001036B0"/>
    <w:rsid w:val="001038F8"/>
    <w:rsid w:val="0010596F"/>
    <w:rsid w:val="00105DB8"/>
    <w:rsid w:val="0010636C"/>
    <w:rsid w:val="00107103"/>
    <w:rsid w:val="00107887"/>
    <w:rsid w:val="001107C2"/>
    <w:rsid w:val="00110E62"/>
    <w:rsid w:val="0011150F"/>
    <w:rsid w:val="00112BFC"/>
    <w:rsid w:val="00114E83"/>
    <w:rsid w:val="00115DBB"/>
    <w:rsid w:val="001168C6"/>
    <w:rsid w:val="00120B76"/>
    <w:rsid w:val="00120E73"/>
    <w:rsid w:val="001212CA"/>
    <w:rsid w:val="001217EB"/>
    <w:rsid w:val="001233B3"/>
    <w:rsid w:val="00123A6B"/>
    <w:rsid w:val="00124FD8"/>
    <w:rsid w:val="00126B7C"/>
    <w:rsid w:val="00126D6B"/>
    <w:rsid w:val="001304F1"/>
    <w:rsid w:val="00130CD8"/>
    <w:rsid w:val="0013214A"/>
    <w:rsid w:val="00132579"/>
    <w:rsid w:val="001326F1"/>
    <w:rsid w:val="00132747"/>
    <w:rsid w:val="001330B6"/>
    <w:rsid w:val="001337E2"/>
    <w:rsid w:val="00136E3D"/>
    <w:rsid w:val="00136E77"/>
    <w:rsid w:val="00137FA0"/>
    <w:rsid w:val="00140687"/>
    <w:rsid w:val="00140F68"/>
    <w:rsid w:val="00141963"/>
    <w:rsid w:val="0014200A"/>
    <w:rsid w:val="00142DBC"/>
    <w:rsid w:val="0014448B"/>
    <w:rsid w:val="001476EF"/>
    <w:rsid w:val="001478F6"/>
    <w:rsid w:val="00150260"/>
    <w:rsid w:val="00150D79"/>
    <w:rsid w:val="00154065"/>
    <w:rsid w:val="00154310"/>
    <w:rsid w:val="00155830"/>
    <w:rsid w:val="00156959"/>
    <w:rsid w:val="00157F81"/>
    <w:rsid w:val="001611F3"/>
    <w:rsid w:val="001638D3"/>
    <w:rsid w:val="001646D7"/>
    <w:rsid w:val="0016666B"/>
    <w:rsid w:val="0016668E"/>
    <w:rsid w:val="00171E25"/>
    <w:rsid w:val="00172613"/>
    <w:rsid w:val="00172E86"/>
    <w:rsid w:val="00175239"/>
    <w:rsid w:val="00176487"/>
    <w:rsid w:val="001770E5"/>
    <w:rsid w:val="00180617"/>
    <w:rsid w:val="001816B6"/>
    <w:rsid w:val="0018181F"/>
    <w:rsid w:val="00182A81"/>
    <w:rsid w:val="00185BFE"/>
    <w:rsid w:val="00191019"/>
    <w:rsid w:val="00191050"/>
    <w:rsid w:val="00191CED"/>
    <w:rsid w:val="00192C76"/>
    <w:rsid w:val="00194FA7"/>
    <w:rsid w:val="00196948"/>
    <w:rsid w:val="001973EE"/>
    <w:rsid w:val="00197865"/>
    <w:rsid w:val="0019799F"/>
    <w:rsid w:val="00197D2E"/>
    <w:rsid w:val="001A0A99"/>
    <w:rsid w:val="001A1008"/>
    <w:rsid w:val="001A11F9"/>
    <w:rsid w:val="001A20A8"/>
    <w:rsid w:val="001A4B8C"/>
    <w:rsid w:val="001A5504"/>
    <w:rsid w:val="001B0672"/>
    <w:rsid w:val="001B0C9D"/>
    <w:rsid w:val="001B0DC2"/>
    <w:rsid w:val="001B3362"/>
    <w:rsid w:val="001B4075"/>
    <w:rsid w:val="001B51FC"/>
    <w:rsid w:val="001B7124"/>
    <w:rsid w:val="001B72B3"/>
    <w:rsid w:val="001C005B"/>
    <w:rsid w:val="001C00B4"/>
    <w:rsid w:val="001C01D7"/>
    <w:rsid w:val="001C048F"/>
    <w:rsid w:val="001C076F"/>
    <w:rsid w:val="001C0978"/>
    <w:rsid w:val="001C12BC"/>
    <w:rsid w:val="001C3E3A"/>
    <w:rsid w:val="001C4FCB"/>
    <w:rsid w:val="001C7002"/>
    <w:rsid w:val="001C757D"/>
    <w:rsid w:val="001C76F0"/>
    <w:rsid w:val="001C7C54"/>
    <w:rsid w:val="001C7E0F"/>
    <w:rsid w:val="001D1814"/>
    <w:rsid w:val="001D44C2"/>
    <w:rsid w:val="001D663A"/>
    <w:rsid w:val="001D67C4"/>
    <w:rsid w:val="001D795B"/>
    <w:rsid w:val="001E0739"/>
    <w:rsid w:val="001E077C"/>
    <w:rsid w:val="001E0A91"/>
    <w:rsid w:val="001E4304"/>
    <w:rsid w:val="001E579D"/>
    <w:rsid w:val="001E605D"/>
    <w:rsid w:val="001F1109"/>
    <w:rsid w:val="001F1147"/>
    <w:rsid w:val="001F2B45"/>
    <w:rsid w:val="001F4371"/>
    <w:rsid w:val="001F4913"/>
    <w:rsid w:val="001F4966"/>
    <w:rsid w:val="001F5218"/>
    <w:rsid w:val="001F60FD"/>
    <w:rsid w:val="001F7298"/>
    <w:rsid w:val="001F7FB4"/>
    <w:rsid w:val="0020186B"/>
    <w:rsid w:val="002023DC"/>
    <w:rsid w:val="00202B67"/>
    <w:rsid w:val="0020583A"/>
    <w:rsid w:val="00205EC6"/>
    <w:rsid w:val="00207B11"/>
    <w:rsid w:val="0021013F"/>
    <w:rsid w:val="00214259"/>
    <w:rsid w:val="00216B19"/>
    <w:rsid w:val="00216B81"/>
    <w:rsid w:val="00217200"/>
    <w:rsid w:val="00217CC9"/>
    <w:rsid w:val="00226127"/>
    <w:rsid w:val="00227A25"/>
    <w:rsid w:val="00230236"/>
    <w:rsid w:val="00233BA5"/>
    <w:rsid w:val="00234F17"/>
    <w:rsid w:val="00235057"/>
    <w:rsid w:val="00236177"/>
    <w:rsid w:val="00236249"/>
    <w:rsid w:val="0023632E"/>
    <w:rsid w:val="002374E4"/>
    <w:rsid w:val="0023752B"/>
    <w:rsid w:val="0024105A"/>
    <w:rsid w:val="00241EB0"/>
    <w:rsid w:val="00243AB5"/>
    <w:rsid w:val="00243C4C"/>
    <w:rsid w:val="00243D87"/>
    <w:rsid w:val="00243F4E"/>
    <w:rsid w:val="00244D5E"/>
    <w:rsid w:val="0024520E"/>
    <w:rsid w:val="00247C44"/>
    <w:rsid w:val="0025011A"/>
    <w:rsid w:val="0025062D"/>
    <w:rsid w:val="00251AD3"/>
    <w:rsid w:val="00252C35"/>
    <w:rsid w:val="00253358"/>
    <w:rsid w:val="00253BBD"/>
    <w:rsid w:val="00254131"/>
    <w:rsid w:val="002576D3"/>
    <w:rsid w:val="0026181B"/>
    <w:rsid w:val="0026225E"/>
    <w:rsid w:val="00263E64"/>
    <w:rsid w:val="0026406F"/>
    <w:rsid w:val="00264098"/>
    <w:rsid w:val="0026440D"/>
    <w:rsid w:val="00265252"/>
    <w:rsid w:val="0026645A"/>
    <w:rsid w:val="002668FF"/>
    <w:rsid w:val="002702EF"/>
    <w:rsid w:val="002704F6"/>
    <w:rsid w:val="00270530"/>
    <w:rsid w:val="00270DC3"/>
    <w:rsid w:val="002718F9"/>
    <w:rsid w:val="00271F53"/>
    <w:rsid w:val="00271FA4"/>
    <w:rsid w:val="00272CD4"/>
    <w:rsid w:val="002730D4"/>
    <w:rsid w:val="002736EB"/>
    <w:rsid w:val="00276A05"/>
    <w:rsid w:val="00277947"/>
    <w:rsid w:val="00277F68"/>
    <w:rsid w:val="0028086D"/>
    <w:rsid w:val="00280BD3"/>
    <w:rsid w:val="00281455"/>
    <w:rsid w:val="0028431C"/>
    <w:rsid w:val="00284B02"/>
    <w:rsid w:val="00284B12"/>
    <w:rsid w:val="00287CAA"/>
    <w:rsid w:val="002905D0"/>
    <w:rsid w:val="00291AEC"/>
    <w:rsid w:val="00293DAF"/>
    <w:rsid w:val="00295B0B"/>
    <w:rsid w:val="00295BAA"/>
    <w:rsid w:val="002961E5"/>
    <w:rsid w:val="0029780D"/>
    <w:rsid w:val="002A0104"/>
    <w:rsid w:val="002A0EBE"/>
    <w:rsid w:val="002A342E"/>
    <w:rsid w:val="002A3586"/>
    <w:rsid w:val="002A3F28"/>
    <w:rsid w:val="002A5745"/>
    <w:rsid w:val="002A65DA"/>
    <w:rsid w:val="002B01C0"/>
    <w:rsid w:val="002B0668"/>
    <w:rsid w:val="002B06B0"/>
    <w:rsid w:val="002B0B4E"/>
    <w:rsid w:val="002B1039"/>
    <w:rsid w:val="002B2B28"/>
    <w:rsid w:val="002B3DD7"/>
    <w:rsid w:val="002B51AE"/>
    <w:rsid w:val="002B6985"/>
    <w:rsid w:val="002C07AA"/>
    <w:rsid w:val="002C2511"/>
    <w:rsid w:val="002C3739"/>
    <w:rsid w:val="002C3CB8"/>
    <w:rsid w:val="002C61E8"/>
    <w:rsid w:val="002C67EF"/>
    <w:rsid w:val="002C6C41"/>
    <w:rsid w:val="002C7006"/>
    <w:rsid w:val="002D0737"/>
    <w:rsid w:val="002D110C"/>
    <w:rsid w:val="002D1430"/>
    <w:rsid w:val="002D40E0"/>
    <w:rsid w:val="002D7DC7"/>
    <w:rsid w:val="002E038C"/>
    <w:rsid w:val="002E0E50"/>
    <w:rsid w:val="002E1D41"/>
    <w:rsid w:val="002E1DCB"/>
    <w:rsid w:val="002E1E04"/>
    <w:rsid w:val="002E2935"/>
    <w:rsid w:val="002E6D5B"/>
    <w:rsid w:val="002F052A"/>
    <w:rsid w:val="002F0F71"/>
    <w:rsid w:val="002F2A0A"/>
    <w:rsid w:val="002F4148"/>
    <w:rsid w:val="002F61E0"/>
    <w:rsid w:val="002F6D5B"/>
    <w:rsid w:val="002F7373"/>
    <w:rsid w:val="0030086D"/>
    <w:rsid w:val="00300C44"/>
    <w:rsid w:val="003020B4"/>
    <w:rsid w:val="003025F3"/>
    <w:rsid w:val="0030310D"/>
    <w:rsid w:val="003036CA"/>
    <w:rsid w:val="00303B1D"/>
    <w:rsid w:val="00303D49"/>
    <w:rsid w:val="00305662"/>
    <w:rsid w:val="0030579E"/>
    <w:rsid w:val="0030638A"/>
    <w:rsid w:val="00307990"/>
    <w:rsid w:val="00312902"/>
    <w:rsid w:val="00316350"/>
    <w:rsid w:val="003179F6"/>
    <w:rsid w:val="00317B55"/>
    <w:rsid w:val="0032019E"/>
    <w:rsid w:val="00321FD5"/>
    <w:rsid w:val="003221A2"/>
    <w:rsid w:val="003233A1"/>
    <w:rsid w:val="00323CB7"/>
    <w:rsid w:val="0032400F"/>
    <w:rsid w:val="00326944"/>
    <w:rsid w:val="003328E6"/>
    <w:rsid w:val="00332CBA"/>
    <w:rsid w:val="003343A0"/>
    <w:rsid w:val="0033538E"/>
    <w:rsid w:val="00341D69"/>
    <w:rsid w:val="00341E93"/>
    <w:rsid w:val="00342D20"/>
    <w:rsid w:val="00343A80"/>
    <w:rsid w:val="00343F24"/>
    <w:rsid w:val="0034471B"/>
    <w:rsid w:val="00346399"/>
    <w:rsid w:val="003466F7"/>
    <w:rsid w:val="00346AB5"/>
    <w:rsid w:val="00346BA4"/>
    <w:rsid w:val="0034719A"/>
    <w:rsid w:val="003474FF"/>
    <w:rsid w:val="0035245B"/>
    <w:rsid w:val="00355856"/>
    <w:rsid w:val="003566BD"/>
    <w:rsid w:val="0036074D"/>
    <w:rsid w:val="003637A1"/>
    <w:rsid w:val="00363E4C"/>
    <w:rsid w:val="0036474B"/>
    <w:rsid w:val="00364823"/>
    <w:rsid w:val="003679BC"/>
    <w:rsid w:val="003700F4"/>
    <w:rsid w:val="0037111B"/>
    <w:rsid w:val="003730F4"/>
    <w:rsid w:val="00373714"/>
    <w:rsid w:val="00374C88"/>
    <w:rsid w:val="00377431"/>
    <w:rsid w:val="00377F3E"/>
    <w:rsid w:val="003807EE"/>
    <w:rsid w:val="003809A9"/>
    <w:rsid w:val="00380B2B"/>
    <w:rsid w:val="00381396"/>
    <w:rsid w:val="00381CFC"/>
    <w:rsid w:val="00381E7E"/>
    <w:rsid w:val="0038299F"/>
    <w:rsid w:val="00383009"/>
    <w:rsid w:val="00383848"/>
    <w:rsid w:val="00383C9D"/>
    <w:rsid w:val="003853CF"/>
    <w:rsid w:val="0038601F"/>
    <w:rsid w:val="003863FF"/>
    <w:rsid w:val="00386474"/>
    <w:rsid w:val="003877F0"/>
    <w:rsid w:val="0039044F"/>
    <w:rsid w:val="00392946"/>
    <w:rsid w:val="00392F59"/>
    <w:rsid w:val="003938A4"/>
    <w:rsid w:val="00394F55"/>
    <w:rsid w:val="00397177"/>
    <w:rsid w:val="00397756"/>
    <w:rsid w:val="00397E84"/>
    <w:rsid w:val="003A2592"/>
    <w:rsid w:val="003A3318"/>
    <w:rsid w:val="003A570B"/>
    <w:rsid w:val="003A6DC4"/>
    <w:rsid w:val="003A796F"/>
    <w:rsid w:val="003A7A65"/>
    <w:rsid w:val="003A7D2F"/>
    <w:rsid w:val="003A7DF8"/>
    <w:rsid w:val="003B0585"/>
    <w:rsid w:val="003B1007"/>
    <w:rsid w:val="003B1633"/>
    <w:rsid w:val="003B45E8"/>
    <w:rsid w:val="003B4699"/>
    <w:rsid w:val="003B6A80"/>
    <w:rsid w:val="003B71B1"/>
    <w:rsid w:val="003C03C7"/>
    <w:rsid w:val="003C0423"/>
    <w:rsid w:val="003C145B"/>
    <w:rsid w:val="003C1A37"/>
    <w:rsid w:val="003C2F42"/>
    <w:rsid w:val="003C417B"/>
    <w:rsid w:val="003C4802"/>
    <w:rsid w:val="003C59AA"/>
    <w:rsid w:val="003C68D0"/>
    <w:rsid w:val="003C6CBF"/>
    <w:rsid w:val="003C7A2A"/>
    <w:rsid w:val="003D0605"/>
    <w:rsid w:val="003D1E69"/>
    <w:rsid w:val="003D1FCC"/>
    <w:rsid w:val="003D24D4"/>
    <w:rsid w:val="003D4510"/>
    <w:rsid w:val="003D463D"/>
    <w:rsid w:val="003D5C5B"/>
    <w:rsid w:val="003D67C5"/>
    <w:rsid w:val="003E08FB"/>
    <w:rsid w:val="003E0E57"/>
    <w:rsid w:val="003E0EF1"/>
    <w:rsid w:val="003E3597"/>
    <w:rsid w:val="003E39E6"/>
    <w:rsid w:val="003E66E1"/>
    <w:rsid w:val="003E6D0F"/>
    <w:rsid w:val="003E7715"/>
    <w:rsid w:val="003F13F3"/>
    <w:rsid w:val="003F4A16"/>
    <w:rsid w:val="003F4F08"/>
    <w:rsid w:val="003F515A"/>
    <w:rsid w:val="003F5DCC"/>
    <w:rsid w:val="003F5FF4"/>
    <w:rsid w:val="003F7158"/>
    <w:rsid w:val="0040022A"/>
    <w:rsid w:val="004002D3"/>
    <w:rsid w:val="00401183"/>
    <w:rsid w:val="004016CB"/>
    <w:rsid w:val="00402337"/>
    <w:rsid w:val="004031F9"/>
    <w:rsid w:val="00405342"/>
    <w:rsid w:val="00405642"/>
    <w:rsid w:val="0040671D"/>
    <w:rsid w:val="00406E30"/>
    <w:rsid w:val="004071BC"/>
    <w:rsid w:val="00407B1D"/>
    <w:rsid w:val="00410024"/>
    <w:rsid w:val="00411F69"/>
    <w:rsid w:val="00412985"/>
    <w:rsid w:val="00412C97"/>
    <w:rsid w:val="0041336D"/>
    <w:rsid w:val="00415162"/>
    <w:rsid w:val="00415261"/>
    <w:rsid w:val="004159D8"/>
    <w:rsid w:val="0042153D"/>
    <w:rsid w:val="00422530"/>
    <w:rsid w:val="004225E5"/>
    <w:rsid w:val="00425091"/>
    <w:rsid w:val="00425260"/>
    <w:rsid w:val="0042543C"/>
    <w:rsid w:val="0042624D"/>
    <w:rsid w:val="004267E0"/>
    <w:rsid w:val="0043150E"/>
    <w:rsid w:val="00431CF4"/>
    <w:rsid w:val="00434AE4"/>
    <w:rsid w:val="00435CBD"/>
    <w:rsid w:val="0044061F"/>
    <w:rsid w:val="00441A94"/>
    <w:rsid w:val="00441BA3"/>
    <w:rsid w:val="00441E53"/>
    <w:rsid w:val="00441F63"/>
    <w:rsid w:val="0044245C"/>
    <w:rsid w:val="00442E12"/>
    <w:rsid w:val="00444E8F"/>
    <w:rsid w:val="0044508D"/>
    <w:rsid w:val="0044618C"/>
    <w:rsid w:val="004474C2"/>
    <w:rsid w:val="004501EF"/>
    <w:rsid w:val="00451F49"/>
    <w:rsid w:val="004537F9"/>
    <w:rsid w:val="00453DE4"/>
    <w:rsid w:val="0045487B"/>
    <w:rsid w:val="00455AA6"/>
    <w:rsid w:val="004567D2"/>
    <w:rsid w:val="0046073B"/>
    <w:rsid w:val="00461AF7"/>
    <w:rsid w:val="0046316D"/>
    <w:rsid w:val="00463971"/>
    <w:rsid w:val="004655AA"/>
    <w:rsid w:val="004673C1"/>
    <w:rsid w:val="00472E51"/>
    <w:rsid w:val="004747E4"/>
    <w:rsid w:val="00474859"/>
    <w:rsid w:val="00475B3E"/>
    <w:rsid w:val="00476E0B"/>
    <w:rsid w:val="004774C7"/>
    <w:rsid w:val="00477722"/>
    <w:rsid w:val="00477DE9"/>
    <w:rsid w:val="00481556"/>
    <w:rsid w:val="00483DAC"/>
    <w:rsid w:val="004849AE"/>
    <w:rsid w:val="00485CBE"/>
    <w:rsid w:val="004867BC"/>
    <w:rsid w:val="004874CA"/>
    <w:rsid w:val="004910DE"/>
    <w:rsid w:val="0049115C"/>
    <w:rsid w:val="00492483"/>
    <w:rsid w:val="004943C0"/>
    <w:rsid w:val="00494A16"/>
    <w:rsid w:val="00495BC4"/>
    <w:rsid w:val="00497D04"/>
    <w:rsid w:val="00497E2F"/>
    <w:rsid w:val="004A0439"/>
    <w:rsid w:val="004A1450"/>
    <w:rsid w:val="004A2651"/>
    <w:rsid w:val="004A2813"/>
    <w:rsid w:val="004A3083"/>
    <w:rsid w:val="004A3BBD"/>
    <w:rsid w:val="004A58A3"/>
    <w:rsid w:val="004A6F2F"/>
    <w:rsid w:val="004B0059"/>
    <w:rsid w:val="004B030A"/>
    <w:rsid w:val="004B1656"/>
    <w:rsid w:val="004B18F2"/>
    <w:rsid w:val="004B6217"/>
    <w:rsid w:val="004B73D1"/>
    <w:rsid w:val="004B749F"/>
    <w:rsid w:val="004C178E"/>
    <w:rsid w:val="004C2734"/>
    <w:rsid w:val="004C61E6"/>
    <w:rsid w:val="004C6605"/>
    <w:rsid w:val="004C7325"/>
    <w:rsid w:val="004C73E3"/>
    <w:rsid w:val="004C761B"/>
    <w:rsid w:val="004D0364"/>
    <w:rsid w:val="004D137C"/>
    <w:rsid w:val="004D31A4"/>
    <w:rsid w:val="004D3961"/>
    <w:rsid w:val="004D5343"/>
    <w:rsid w:val="004D5AE5"/>
    <w:rsid w:val="004D6183"/>
    <w:rsid w:val="004D7158"/>
    <w:rsid w:val="004D7CDB"/>
    <w:rsid w:val="004E0D1F"/>
    <w:rsid w:val="004E4179"/>
    <w:rsid w:val="004E4925"/>
    <w:rsid w:val="004E4BB6"/>
    <w:rsid w:val="004E5034"/>
    <w:rsid w:val="004E50BF"/>
    <w:rsid w:val="004E6051"/>
    <w:rsid w:val="004E638D"/>
    <w:rsid w:val="004F08F0"/>
    <w:rsid w:val="004F0BE4"/>
    <w:rsid w:val="004F14F6"/>
    <w:rsid w:val="004F1569"/>
    <w:rsid w:val="004F3183"/>
    <w:rsid w:val="004F362F"/>
    <w:rsid w:val="004F39AB"/>
    <w:rsid w:val="004F3A47"/>
    <w:rsid w:val="004F4C1C"/>
    <w:rsid w:val="004F4D1A"/>
    <w:rsid w:val="004F5EEE"/>
    <w:rsid w:val="004F7086"/>
    <w:rsid w:val="004F749B"/>
    <w:rsid w:val="004F7C1B"/>
    <w:rsid w:val="00500129"/>
    <w:rsid w:val="00501BB9"/>
    <w:rsid w:val="005049AC"/>
    <w:rsid w:val="00504D3B"/>
    <w:rsid w:val="005062F1"/>
    <w:rsid w:val="00506D11"/>
    <w:rsid w:val="00511879"/>
    <w:rsid w:val="00511BF6"/>
    <w:rsid w:val="0051430B"/>
    <w:rsid w:val="0051445C"/>
    <w:rsid w:val="005173A1"/>
    <w:rsid w:val="005200A1"/>
    <w:rsid w:val="0052062A"/>
    <w:rsid w:val="00520B95"/>
    <w:rsid w:val="005236C2"/>
    <w:rsid w:val="00523A8A"/>
    <w:rsid w:val="005261D9"/>
    <w:rsid w:val="00527D6C"/>
    <w:rsid w:val="0053012D"/>
    <w:rsid w:val="00530A37"/>
    <w:rsid w:val="00530DB6"/>
    <w:rsid w:val="00530EF5"/>
    <w:rsid w:val="00530F2A"/>
    <w:rsid w:val="00530F85"/>
    <w:rsid w:val="0053169B"/>
    <w:rsid w:val="0053179B"/>
    <w:rsid w:val="005330AC"/>
    <w:rsid w:val="0053783A"/>
    <w:rsid w:val="00540A5D"/>
    <w:rsid w:val="00541EDD"/>
    <w:rsid w:val="0054393F"/>
    <w:rsid w:val="00545993"/>
    <w:rsid w:val="00546611"/>
    <w:rsid w:val="00547463"/>
    <w:rsid w:val="005475FB"/>
    <w:rsid w:val="00550767"/>
    <w:rsid w:val="00550893"/>
    <w:rsid w:val="005525EA"/>
    <w:rsid w:val="00554FEB"/>
    <w:rsid w:val="00555B16"/>
    <w:rsid w:val="0056091D"/>
    <w:rsid w:val="00562CB8"/>
    <w:rsid w:val="00562DF7"/>
    <w:rsid w:val="00562E11"/>
    <w:rsid w:val="005632F3"/>
    <w:rsid w:val="00563679"/>
    <w:rsid w:val="00564E68"/>
    <w:rsid w:val="00567A8F"/>
    <w:rsid w:val="00571C97"/>
    <w:rsid w:val="00572D52"/>
    <w:rsid w:val="00576C1D"/>
    <w:rsid w:val="005805AB"/>
    <w:rsid w:val="00580D0B"/>
    <w:rsid w:val="00581A33"/>
    <w:rsid w:val="00585A3D"/>
    <w:rsid w:val="00585C6E"/>
    <w:rsid w:val="00586AAD"/>
    <w:rsid w:val="00586E34"/>
    <w:rsid w:val="0058751B"/>
    <w:rsid w:val="00590C29"/>
    <w:rsid w:val="00590CE1"/>
    <w:rsid w:val="00591B0B"/>
    <w:rsid w:val="005925BB"/>
    <w:rsid w:val="005932E5"/>
    <w:rsid w:val="005953A9"/>
    <w:rsid w:val="0059558E"/>
    <w:rsid w:val="00596A9A"/>
    <w:rsid w:val="00597B08"/>
    <w:rsid w:val="005A1436"/>
    <w:rsid w:val="005A2CDD"/>
    <w:rsid w:val="005A315B"/>
    <w:rsid w:val="005A3EC9"/>
    <w:rsid w:val="005A428D"/>
    <w:rsid w:val="005A4C3C"/>
    <w:rsid w:val="005A5620"/>
    <w:rsid w:val="005A57B6"/>
    <w:rsid w:val="005A61B8"/>
    <w:rsid w:val="005A669C"/>
    <w:rsid w:val="005B052C"/>
    <w:rsid w:val="005B08F2"/>
    <w:rsid w:val="005B23B0"/>
    <w:rsid w:val="005B2E30"/>
    <w:rsid w:val="005B4175"/>
    <w:rsid w:val="005B4DF0"/>
    <w:rsid w:val="005B7B1B"/>
    <w:rsid w:val="005B7C50"/>
    <w:rsid w:val="005C0868"/>
    <w:rsid w:val="005C08F7"/>
    <w:rsid w:val="005C2940"/>
    <w:rsid w:val="005C340C"/>
    <w:rsid w:val="005C3C70"/>
    <w:rsid w:val="005C5CEC"/>
    <w:rsid w:val="005C6A25"/>
    <w:rsid w:val="005C7BB4"/>
    <w:rsid w:val="005D05B0"/>
    <w:rsid w:val="005D3072"/>
    <w:rsid w:val="005D57A8"/>
    <w:rsid w:val="005D628D"/>
    <w:rsid w:val="005D6618"/>
    <w:rsid w:val="005E0E9F"/>
    <w:rsid w:val="005E189B"/>
    <w:rsid w:val="005E348B"/>
    <w:rsid w:val="005E3716"/>
    <w:rsid w:val="005E3E20"/>
    <w:rsid w:val="005E52D4"/>
    <w:rsid w:val="005E5A86"/>
    <w:rsid w:val="005E60B5"/>
    <w:rsid w:val="005E6400"/>
    <w:rsid w:val="005E65D1"/>
    <w:rsid w:val="005E69AD"/>
    <w:rsid w:val="005E71BB"/>
    <w:rsid w:val="005F2165"/>
    <w:rsid w:val="005F30DA"/>
    <w:rsid w:val="005F3316"/>
    <w:rsid w:val="005F3492"/>
    <w:rsid w:val="005F431A"/>
    <w:rsid w:val="005F4D99"/>
    <w:rsid w:val="005F5B7B"/>
    <w:rsid w:val="005F6B98"/>
    <w:rsid w:val="00600CE1"/>
    <w:rsid w:val="00601EEA"/>
    <w:rsid w:val="006046E7"/>
    <w:rsid w:val="00606D94"/>
    <w:rsid w:val="00607842"/>
    <w:rsid w:val="00607D52"/>
    <w:rsid w:val="00610A11"/>
    <w:rsid w:val="00611730"/>
    <w:rsid w:val="00611B24"/>
    <w:rsid w:val="006124F1"/>
    <w:rsid w:val="0061293C"/>
    <w:rsid w:val="00612A02"/>
    <w:rsid w:val="0061336C"/>
    <w:rsid w:val="006135AD"/>
    <w:rsid w:val="006144E3"/>
    <w:rsid w:val="00615053"/>
    <w:rsid w:val="00615134"/>
    <w:rsid w:val="006219E5"/>
    <w:rsid w:val="00621DCB"/>
    <w:rsid w:val="00622B27"/>
    <w:rsid w:val="00623455"/>
    <w:rsid w:val="006240BF"/>
    <w:rsid w:val="006246AD"/>
    <w:rsid w:val="00624757"/>
    <w:rsid w:val="00625F05"/>
    <w:rsid w:val="00626B0D"/>
    <w:rsid w:val="00627A43"/>
    <w:rsid w:val="00630BD7"/>
    <w:rsid w:val="00631A52"/>
    <w:rsid w:val="00634D98"/>
    <w:rsid w:val="0063555D"/>
    <w:rsid w:val="0063613B"/>
    <w:rsid w:val="006363C1"/>
    <w:rsid w:val="00637514"/>
    <w:rsid w:val="00641BDA"/>
    <w:rsid w:val="00641DEC"/>
    <w:rsid w:val="00642C2F"/>
    <w:rsid w:val="006435F5"/>
    <w:rsid w:val="00644C60"/>
    <w:rsid w:val="006453C1"/>
    <w:rsid w:val="006454E1"/>
    <w:rsid w:val="006464EE"/>
    <w:rsid w:val="00646AD1"/>
    <w:rsid w:val="0064715E"/>
    <w:rsid w:val="006477F3"/>
    <w:rsid w:val="00651E38"/>
    <w:rsid w:val="006526E3"/>
    <w:rsid w:val="00652A05"/>
    <w:rsid w:val="0065415F"/>
    <w:rsid w:val="006548CD"/>
    <w:rsid w:val="006553D6"/>
    <w:rsid w:val="00656188"/>
    <w:rsid w:val="006574DC"/>
    <w:rsid w:val="00660323"/>
    <w:rsid w:val="0066073B"/>
    <w:rsid w:val="00661047"/>
    <w:rsid w:val="006611E2"/>
    <w:rsid w:val="0066139A"/>
    <w:rsid w:val="0066467B"/>
    <w:rsid w:val="00666774"/>
    <w:rsid w:val="0066692F"/>
    <w:rsid w:val="006673C1"/>
    <w:rsid w:val="00667B5B"/>
    <w:rsid w:val="00670B80"/>
    <w:rsid w:val="00670F27"/>
    <w:rsid w:val="00671834"/>
    <w:rsid w:val="006729E3"/>
    <w:rsid w:val="006770BF"/>
    <w:rsid w:val="00677B5D"/>
    <w:rsid w:val="0068439B"/>
    <w:rsid w:val="0068479D"/>
    <w:rsid w:val="006851BA"/>
    <w:rsid w:val="00685555"/>
    <w:rsid w:val="0068596F"/>
    <w:rsid w:val="00685F6C"/>
    <w:rsid w:val="00686495"/>
    <w:rsid w:val="00686612"/>
    <w:rsid w:val="006923FA"/>
    <w:rsid w:val="00692751"/>
    <w:rsid w:val="00695D71"/>
    <w:rsid w:val="00696024"/>
    <w:rsid w:val="006967CD"/>
    <w:rsid w:val="0069764D"/>
    <w:rsid w:val="006A02E8"/>
    <w:rsid w:val="006A0826"/>
    <w:rsid w:val="006A1268"/>
    <w:rsid w:val="006A5048"/>
    <w:rsid w:val="006A61AF"/>
    <w:rsid w:val="006A65A7"/>
    <w:rsid w:val="006A7DE8"/>
    <w:rsid w:val="006B0A20"/>
    <w:rsid w:val="006B144A"/>
    <w:rsid w:val="006B2474"/>
    <w:rsid w:val="006B27F3"/>
    <w:rsid w:val="006B3762"/>
    <w:rsid w:val="006B40E4"/>
    <w:rsid w:val="006B67E8"/>
    <w:rsid w:val="006B7CA6"/>
    <w:rsid w:val="006C340A"/>
    <w:rsid w:val="006C3BC4"/>
    <w:rsid w:val="006C4BC0"/>
    <w:rsid w:val="006C591A"/>
    <w:rsid w:val="006C5CB0"/>
    <w:rsid w:val="006C5D8B"/>
    <w:rsid w:val="006C5E76"/>
    <w:rsid w:val="006C6CB4"/>
    <w:rsid w:val="006C6E1D"/>
    <w:rsid w:val="006D0136"/>
    <w:rsid w:val="006D08ED"/>
    <w:rsid w:val="006D0B5C"/>
    <w:rsid w:val="006D0D13"/>
    <w:rsid w:val="006D1F35"/>
    <w:rsid w:val="006D29AC"/>
    <w:rsid w:val="006D37B2"/>
    <w:rsid w:val="006D57E1"/>
    <w:rsid w:val="006D58A2"/>
    <w:rsid w:val="006D6675"/>
    <w:rsid w:val="006D78DA"/>
    <w:rsid w:val="006E04AD"/>
    <w:rsid w:val="006E2055"/>
    <w:rsid w:val="006E322F"/>
    <w:rsid w:val="006E488B"/>
    <w:rsid w:val="006E5213"/>
    <w:rsid w:val="006E6088"/>
    <w:rsid w:val="006E6CFE"/>
    <w:rsid w:val="006F1DB7"/>
    <w:rsid w:val="006F221E"/>
    <w:rsid w:val="006F4E88"/>
    <w:rsid w:val="006F699F"/>
    <w:rsid w:val="00700D3B"/>
    <w:rsid w:val="00701A03"/>
    <w:rsid w:val="0070403E"/>
    <w:rsid w:val="00704A58"/>
    <w:rsid w:val="007069F7"/>
    <w:rsid w:val="00711C90"/>
    <w:rsid w:val="00711F03"/>
    <w:rsid w:val="00712C54"/>
    <w:rsid w:val="00712CF5"/>
    <w:rsid w:val="00716204"/>
    <w:rsid w:val="00716381"/>
    <w:rsid w:val="00716D30"/>
    <w:rsid w:val="007171FA"/>
    <w:rsid w:val="00717C64"/>
    <w:rsid w:val="007207B8"/>
    <w:rsid w:val="00720B3D"/>
    <w:rsid w:val="00720E70"/>
    <w:rsid w:val="0072182D"/>
    <w:rsid w:val="00722DB7"/>
    <w:rsid w:val="0072306D"/>
    <w:rsid w:val="0072413A"/>
    <w:rsid w:val="007241B7"/>
    <w:rsid w:val="00725096"/>
    <w:rsid w:val="007250A3"/>
    <w:rsid w:val="00726E13"/>
    <w:rsid w:val="007270CC"/>
    <w:rsid w:val="00727FCE"/>
    <w:rsid w:val="00730288"/>
    <w:rsid w:val="00730C55"/>
    <w:rsid w:val="0073163B"/>
    <w:rsid w:val="00731C1C"/>
    <w:rsid w:val="0073303B"/>
    <w:rsid w:val="00734424"/>
    <w:rsid w:val="00740B41"/>
    <w:rsid w:val="00741C9B"/>
    <w:rsid w:val="00743081"/>
    <w:rsid w:val="007457AE"/>
    <w:rsid w:val="00745D3E"/>
    <w:rsid w:val="00746CDB"/>
    <w:rsid w:val="007474DC"/>
    <w:rsid w:val="007567FB"/>
    <w:rsid w:val="0076061B"/>
    <w:rsid w:val="007617FE"/>
    <w:rsid w:val="00761994"/>
    <w:rsid w:val="00761A95"/>
    <w:rsid w:val="0076337D"/>
    <w:rsid w:val="0076435E"/>
    <w:rsid w:val="007648AE"/>
    <w:rsid w:val="00767B39"/>
    <w:rsid w:val="00770827"/>
    <w:rsid w:val="00771054"/>
    <w:rsid w:val="007714AA"/>
    <w:rsid w:val="007715AE"/>
    <w:rsid w:val="00772169"/>
    <w:rsid w:val="00772542"/>
    <w:rsid w:val="0077262E"/>
    <w:rsid w:val="007732BF"/>
    <w:rsid w:val="00773F12"/>
    <w:rsid w:val="00774B88"/>
    <w:rsid w:val="007775C8"/>
    <w:rsid w:val="007811B0"/>
    <w:rsid w:val="007815AA"/>
    <w:rsid w:val="00783D38"/>
    <w:rsid w:val="00783DDF"/>
    <w:rsid w:val="00784459"/>
    <w:rsid w:val="00784F67"/>
    <w:rsid w:val="00786548"/>
    <w:rsid w:val="00786853"/>
    <w:rsid w:val="00786ED1"/>
    <w:rsid w:val="00793115"/>
    <w:rsid w:val="00793660"/>
    <w:rsid w:val="00795A7C"/>
    <w:rsid w:val="00795F03"/>
    <w:rsid w:val="00796B1C"/>
    <w:rsid w:val="007971EE"/>
    <w:rsid w:val="00797A78"/>
    <w:rsid w:val="007A059E"/>
    <w:rsid w:val="007A2456"/>
    <w:rsid w:val="007A53A7"/>
    <w:rsid w:val="007A572D"/>
    <w:rsid w:val="007A6E17"/>
    <w:rsid w:val="007A7267"/>
    <w:rsid w:val="007B00BA"/>
    <w:rsid w:val="007B01D5"/>
    <w:rsid w:val="007B3B62"/>
    <w:rsid w:val="007B3F1B"/>
    <w:rsid w:val="007B5C7C"/>
    <w:rsid w:val="007B6666"/>
    <w:rsid w:val="007B6C2E"/>
    <w:rsid w:val="007B71A0"/>
    <w:rsid w:val="007C1031"/>
    <w:rsid w:val="007C2500"/>
    <w:rsid w:val="007C251A"/>
    <w:rsid w:val="007C4CE4"/>
    <w:rsid w:val="007C5068"/>
    <w:rsid w:val="007C7F51"/>
    <w:rsid w:val="007D03C2"/>
    <w:rsid w:val="007D0C2D"/>
    <w:rsid w:val="007D1485"/>
    <w:rsid w:val="007D29BD"/>
    <w:rsid w:val="007D456D"/>
    <w:rsid w:val="007D5311"/>
    <w:rsid w:val="007D6492"/>
    <w:rsid w:val="007D664D"/>
    <w:rsid w:val="007E07EE"/>
    <w:rsid w:val="007E12C7"/>
    <w:rsid w:val="007E283B"/>
    <w:rsid w:val="007E5062"/>
    <w:rsid w:val="007E6244"/>
    <w:rsid w:val="007E6405"/>
    <w:rsid w:val="007E73BE"/>
    <w:rsid w:val="007F067B"/>
    <w:rsid w:val="007F0885"/>
    <w:rsid w:val="007F08D7"/>
    <w:rsid w:val="007F223C"/>
    <w:rsid w:val="007F2FB1"/>
    <w:rsid w:val="007F3063"/>
    <w:rsid w:val="007F3AB8"/>
    <w:rsid w:val="007F4515"/>
    <w:rsid w:val="007F56D6"/>
    <w:rsid w:val="007F5E79"/>
    <w:rsid w:val="007F6BCF"/>
    <w:rsid w:val="008005AA"/>
    <w:rsid w:val="008017B6"/>
    <w:rsid w:val="00801BEC"/>
    <w:rsid w:val="008021EC"/>
    <w:rsid w:val="00802A8F"/>
    <w:rsid w:val="00803016"/>
    <w:rsid w:val="00803626"/>
    <w:rsid w:val="008036CC"/>
    <w:rsid w:val="00804AE2"/>
    <w:rsid w:val="008055B1"/>
    <w:rsid w:val="00806E25"/>
    <w:rsid w:val="00810F61"/>
    <w:rsid w:val="0081746F"/>
    <w:rsid w:val="00817707"/>
    <w:rsid w:val="00817BD6"/>
    <w:rsid w:val="00817D0D"/>
    <w:rsid w:val="00822326"/>
    <w:rsid w:val="00822FB3"/>
    <w:rsid w:val="00823636"/>
    <w:rsid w:val="00823D06"/>
    <w:rsid w:val="00824271"/>
    <w:rsid w:val="0082470C"/>
    <w:rsid w:val="00824CD8"/>
    <w:rsid w:val="00824FD8"/>
    <w:rsid w:val="00825EB7"/>
    <w:rsid w:val="00825F3A"/>
    <w:rsid w:val="008261DD"/>
    <w:rsid w:val="00826A8C"/>
    <w:rsid w:val="0082775E"/>
    <w:rsid w:val="00830049"/>
    <w:rsid w:val="00830BF0"/>
    <w:rsid w:val="00830F51"/>
    <w:rsid w:val="00831039"/>
    <w:rsid w:val="00833435"/>
    <w:rsid w:val="008336C1"/>
    <w:rsid w:val="00835A3B"/>
    <w:rsid w:val="00835DDA"/>
    <w:rsid w:val="0083758B"/>
    <w:rsid w:val="00841431"/>
    <w:rsid w:val="00841619"/>
    <w:rsid w:val="008431FF"/>
    <w:rsid w:val="00844F5E"/>
    <w:rsid w:val="0084506D"/>
    <w:rsid w:val="0084566D"/>
    <w:rsid w:val="00846C28"/>
    <w:rsid w:val="00850880"/>
    <w:rsid w:val="0085090D"/>
    <w:rsid w:val="00855AC2"/>
    <w:rsid w:val="008602A2"/>
    <w:rsid w:val="00860538"/>
    <w:rsid w:val="008621E9"/>
    <w:rsid w:val="00862DD5"/>
    <w:rsid w:val="0086378C"/>
    <w:rsid w:val="00870AA9"/>
    <w:rsid w:val="008732C2"/>
    <w:rsid w:val="0087403A"/>
    <w:rsid w:val="00874E99"/>
    <w:rsid w:val="00876AC0"/>
    <w:rsid w:val="008806BE"/>
    <w:rsid w:val="00881A7D"/>
    <w:rsid w:val="00882403"/>
    <w:rsid w:val="00882F46"/>
    <w:rsid w:val="008841CF"/>
    <w:rsid w:val="00885E0C"/>
    <w:rsid w:val="00886B3E"/>
    <w:rsid w:val="00887299"/>
    <w:rsid w:val="0088756D"/>
    <w:rsid w:val="00887584"/>
    <w:rsid w:val="00890AD8"/>
    <w:rsid w:val="00891044"/>
    <w:rsid w:val="00891E0D"/>
    <w:rsid w:val="00893D30"/>
    <w:rsid w:val="0089415E"/>
    <w:rsid w:val="008942F1"/>
    <w:rsid w:val="00894D74"/>
    <w:rsid w:val="00894D7B"/>
    <w:rsid w:val="00896FBA"/>
    <w:rsid w:val="00897CB5"/>
    <w:rsid w:val="00897CC9"/>
    <w:rsid w:val="008A020C"/>
    <w:rsid w:val="008A0262"/>
    <w:rsid w:val="008A0CCF"/>
    <w:rsid w:val="008A0CD3"/>
    <w:rsid w:val="008A1630"/>
    <w:rsid w:val="008A3955"/>
    <w:rsid w:val="008A3E9C"/>
    <w:rsid w:val="008A3F5C"/>
    <w:rsid w:val="008A45AC"/>
    <w:rsid w:val="008A4C6E"/>
    <w:rsid w:val="008A5E7A"/>
    <w:rsid w:val="008A5EEE"/>
    <w:rsid w:val="008A75F1"/>
    <w:rsid w:val="008A779D"/>
    <w:rsid w:val="008B0F71"/>
    <w:rsid w:val="008B266B"/>
    <w:rsid w:val="008B4B84"/>
    <w:rsid w:val="008B4EDB"/>
    <w:rsid w:val="008B4FCF"/>
    <w:rsid w:val="008C0165"/>
    <w:rsid w:val="008C351B"/>
    <w:rsid w:val="008C3830"/>
    <w:rsid w:val="008C5351"/>
    <w:rsid w:val="008C7FBB"/>
    <w:rsid w:val="008D063E"/>
    <w:rsid w:val="008D0913"/>
    <w:rsid w:val="008D11FA"/>
    <w:rsid w:val="008D1852"/>
    <w:rsid w:val="008D31CC"/>
    <w:rsid w:val="008D3708"/>
    <w:rsid w:val="008D5C5A"/>
    <w:rsid w:val="008D5EA6"/>
    <w:rsid w:val="008D60F1"/>
    <w:rsid w:val="008D6322"/>
    <w:rsid w:val="008D752A"/>
    <w:rsid w:val="008E0330"/>
    <w:rsid w:val="008E044F"/>
    <w:rsid w:val="008E0E58"/>
    <w:rsid w:val="008E0F6B"/>
    <w:rsid w:val="008E13C4"/>
    <w:rsid w:val="008E3814"/>
    <w:rsid w:val="008E5509"/>
    <w:rsid w:val="008E5C8E"/>
    <w:rsid w:val="008E6F9C"/>
    <w:rsid w:val="008F101F"/>
    <w:rsid w:val="008F11FF"/>
    <w:rsid w:val="008F1E53"/>
    <w:rsid w:val="008F276B"/>
    <w:rsid w:val="008F3910"/>
    <w:rsid w:val="008F42D6"/>
    <w:rsid w:val="008F6A24"/>
    <w:rsid w:val="008F7909"/>
    <w:rsid w:val="00900911"/>
    <w:rsid w:val="009015A0"/>
    <w:rsid w:val="00901EDB"/>
    <w:rsid w:val="00903F6B"/>
    <w:rsid w:val="00903F98"/>
    <w:rsid w:val="00905273"/>
    <w:rsid w:val="009052C0"/>
    <w:rsid w:val="00905341"/>
    <w:rsid w:val="0090630C"/>
    <w:rsid w:val="0090764B"/>
    <w:rsid w:val="00907725"/>
    <w:rsid w:val="009125A3"/>
    <w:rsid w:val="00913DA7"/>
    <w:rsid w:val="00915B5C"/>
    <w:rsid w:val="00915E01"/>
    <w:rsid w:val="009166B8"/>
    <w:rsid w:val="00916A6C"/>
    <w:rsid w:val="00916C44"/>
    <w:rsid w:val="00917797"/>
    <w:rsid w:val="00920162"/>
    <w:rsid w:val="009204AF"/>
    <w:rsid w:val="009217C0"/>
    <w:rsid w:val="00922FF5"/>
    <w:rsid w:val="00925632"/>
    <w:rsid w:val="00925C19"/>
    <w:rsid w:val="009273B9"/>
    <w:rsid w:val="00930DA1"/>
    <w:rsid w:val="00931EA8"/>
    <w:rsid w:val="009320D9"/>
    <w:rsid w:val="00933BE8"/>
    <w:rsid w:val="009356B0"/>
    <w:rsid w:val="009363AF"/>
    <w:rsid w:val="0093691B"/>
    <w:rsid w:val="009371DD"/>
    <w:rsid w:val="00937946"/>
    <w:rsid w:val="00937B3D"/>
    <w:rsid w:val="00941D43"/>
    <w:rsid w:val="0094206B"/>
    <w:rsid w:val="0094297E"/>
    <w:rsid w:val="00942EE6"/>
    <w:rsid w:val="009435DE"/>
    <w:rsid w:val="00944125"/>
    <w:rsid w:val="009453BC"/>
    <w:rsid w:val="009508F3"/>
    <w:rsid w:val="009525EE"/>
    <w:rsid w:val="00953717"/>
    <w:rsid w:val="00954055"/>
    <w:rsid w:val="0095468C"/>
    <w:rsid w:val="00957D19"/>
    <w:rsid w:val="00961B81"/>
    <w:rsid w:val="009620D7"/>
    <w:rsid w:val="0096405D"/>
    <w:rsid w:val="0096509F"/>
    <w:rsid w:val="0096538D"/>
    <w:rsid w:val="00967C1C"/>
    <w:rsid w:val="00970880"/>
    <w:rsid w:val="00970DD0"/>
    <w:rsid w:val="0097104C"/>
    <w:rsid w:val="00971B07"/>
    <w:rsid w:val="00972995"/>
    <w:rsid w:val="009729F9"/>
    <w:rsid w:val="00973279"/>
    <w:rsid w:val="009803F0"/>
    <w:rsid w:val="00983E6D"/>
    <w:rsid w:val="0098409A"/>
    <w:rsid w:val="00984162"/>
    <w:rsid w:val="00984B1F"/>
    <w:rsid w:val="00987B85"/>
    <w:rsid w:val="00987C7C"/>
    <w:rsid w:val="0099063A"/>
    <w:rsid w:val="00990F44"/>
    <w:rsid w:val="00992B90"/>
    <w:rsid w:val="0099336F"/>
    <w:rsid w:val="009958BD"/>
    <w:rsid w:val="00995B0F"/>
    <w:rsid w:val="0099691F"/>
    <w:rsid w:val="0099711D"/>
    <w:rsid w:val="0099714E"/>
    <w:rsid w:val="009A0AF0"/>
    <w:rsid w:val="009A34DF"/>
    <w:rsid w:val="009A34F1"/>
    <w:rsid w:val="009A4FDF"/>
    <w:rsid w:val="009A6126"/>
    <w:rsid w:val="009B04C1"/>
    <w:rsid w:val="009B10A7"/>
    <w:rsid w:val="009B4047"/>
    <w:rsid w:val="009B48BA"/>
    <w:rsid w:val="009B4F72"/>
    <w:rsid w:val="009B6551"/>
    <w:rsid w:val="009C09B1"/>
    <w:rsid w:val="009C168B"/>
    <w:rsid w:val="009C20BE"/>
    <w:rsid w:val="009C3CF9"/>
    <w:rsid w:val="009C3E96"/>
    <w:rsid w:val="009C512A"/>
    <w:rsid w:val="009C6973"/>
    <w:rsid w:val="009C755A"/>
    <w:rsid w:val="009C78A1"/>
    <w:rsid w:val="009D0671"/>
    <w:rsid w:val="009D1900"/>
    <w:rsid w:val="009D2047"/>
    <w:rsid w:val="009D2C5B"/>
    <w:rsid w:val="009D4353"/>
    <w:rsid w:val="009D5B4C"/>
    <w:rsid w:val="009D6CE7"/>
    <w:rsid w:val="009D78AA"/>
    <w:rsid w:val="009D7B8F"/>
    <w:rsid w:val="009E01C2"/>
    <w:rsid w:val="009E0439"/>
    <w:rsid w:val="009E1725"/>
    <w:rsid w:val="009E264E"/>
    <w:rsid w:val="009E4D49"/>
    <w:rsid w:val="009E5406"/>
    <w:rsid w:val="009E6C7E"/>
    <w:rsid w:val="009F44B1"/>
    <w:rsid w:val="009F6298"/>
    <w:rsid w:val="009F6958"/>
    <w:rsid w:val="009F69CE"/>
    <w:rsid w:val="009F6BC7"/>
    <w:rsid w:val="009F7BC0"/>
    <w:rsid w:val="009F7D43"/>
    <w:rsid w:val="00A01DF1"/>
    <w:rsid w:val="00A02574"/>
    <w:rsid w:val="00A03065"/>
    <w:rsid w:val="00A03D2C"/>
    <w:rsid w:val="00A05766"/>
    <w:rsid w:val="00A07E5E"/>
    <w:rsid w:val="00A07EF3"/>
    <w:rsid w:val="00A13145"/>
    <w:rsid w:val="00A1450B"/>
    <w:rsid w:val="00A16427"/>
    <w:rsid w:val="00A166C8"/>
    <w:rsid w:val="00A167D6"/>
    <w:rsid w:val="00A1765F"/>
    <w:rsid w:val="00A21576"/>
    <w:rsid w:val="00A22343"/>
    <w:rsid w:val="00A22840"/>
    <w:rsid w:val="00A22FDB"/>
    <w:rsid w:val="00A2419E"/>
    <w:rsid w:val="00A24A1B"/>
    <w:rsid w:val="00A25178"/>
    <w:rsid w:val="00A267F5"/>
    <w:rsid w:val="00A27D64"/>
    <w:rsid w:val="00A32159"/>
    <w:rsid w:val="00A324A7"/>
    <w:rsid w:val="00A32698"/>
    <w:rsid w:val="00A333EB"/>
    <w:rsid w:val="00A33806"/>
    <w:rsid w:val="00A33F97"/>
    <w:rsid w:val="00A3430B"/>
    <w:rsid w:val="00A345D2"/>
    <w:rsid w:val="00A35263"/>
    <w:rsid w:val="00A3549C"/>
    <w:rsid w:val="00A373CA"/>
    <w:rsid w:val="00A4056B"/>
    <w:rsid w:val="00A4249A"/>
    <w:rsid w:val="00A4356A"/>
    <w:rsid w:val="00A43763"/>
    <w:rsid w:val="00A44027"/>
    <w:rsid w:val="00A44CED"/>
    <w:rsid w:val="00A45EE0"/>
    <w:rsid w:val="00A460D6"/>
    <w:rsid w:val="00A468AB"/>
    <w:rsid w:val="00A478BF"/>
    <w:rsid w:val="00A47C43"/>
    <w:rsid w:val="00A50D3C"/>
    <w:rsid w:val="00A50EF8"/>
    <w:rsid w:val="00A52C81"/>
    <w:rsid w:val="00A53224"/>
    <w:rsid w:val="00A547F1"/>
    <w:rsid w:val="00A54B2A"/>
    <w:rsid w:val="00A56ED7"/>
    <w:rsid w:val="00A603CC"/>
    <w:rsid w:val="00A6258C"/>
    <w:rsid w:val="00A64100"/>
    <w:rsid w:val="00A64307"/>
    <w:rsid w:val="00A66F4F"/>
    <w:rsid w:val="00A70797"/>
    <w:rsid w:val="00A715CC"/>
    <w:rsid w:val="00A737C3"/>
    <w:rsid w:val="00A73D85"/>
    <w:rsid w:val="00A7422C"/>
    <w:rsid w:val="00A74595"/>
    <w:rsid w:val="00A756EA"/>
    <w:rsid w:val="00A81BD3"/>
    <w:rsid w:val="00A83470"/>
    <w:rsid w:val="00A83BA2"/>
    <w:rsid w:val="00A83F59"/>
    <w:rsid w:val="00A850A8"/>
    <w:rsid w:val="00A87A5B"/>
    <w:rsid w:val="00A90DC8"/>
    <w:rsid w:val="00A933CB"/>
    <w:rsid w:val="00A93E71"/>
    <w:rsid w:val="00A94194"/>
    <w:rsid w:val="00A95A7C"/>
    <w:rsid w:val="00A96394"/>
    <w:rsid w:val="00AA30D1"/>
    <w:rsid w:val="00AA3716"/>
    <w:rsid w:val="00AA46A1"/>
    <w:rsid w:val="00AA56C4"/>
    <w:rsid w:val="00AB0B8F"/>
    <w:rsid w:val="00AB167E"/>
    <w:rsid w:val="00AB1B53"/>
    <w:rsid w:val="00AB1C47"/>
    <w:rsid w:val="00AB4474"/>
    <w:rsid w:val="00AB45DC"/>
    <w:rsid w:val="00AB4B18"/>
    <w:rsid w:val="00AB6042"/>
    <w:rsid w:val="00AC21F9"/>
    <w:rsid w:val="00AC3D3E"/>
    <w:rsid w:val="00AC4B21"/>
    <w:rsid w:val="00AC5D7F"/>
    <w:rsid w:val="00AC5DF3"/>
    <w:rsid w:val="00AC5F65"/>
    <w:rsid w:val="00AD0D0F"/>
    <w:rsid w:val="00AD1654"/>
    <w:rsid w:val="00AD2B7D"/>
    <w:rsid w:val="00AD30CE"/>
    <w:rsid w:val="00AD3DC5"/>
    <w:rsid w:val="00AD43D9"/>
    <w:rsid w:val="00AD5418"/>
    <w:rsid w:val="00AE100B"/>
    <w:rsid w:val="00AE1C06"/>
    <w:rsid w:val="00AE57CD"/>
    <w:rsid w:val="00AE6A1B"/>
    <w:rsid w:val="00AE76E4"/>
    <w:rsid w:val="00AF1DF6"/>
    <w:rsid w:val="00AF219E"/>
    <w:rsid w:val="00AF469B"/>
    <w:rsid w:val="00AF6044"/>
    <w:rsid w:val="00B00393"/>
    <w:rsid w:val="00B004B6"/>
    <w:rsid w:val="00B0170C"/>
    <w:rsid w:val="00B01E0D"/>
    <w:rsid w:val="00B02052"/>
    <w:rsid w:val="00B02371"/>
    <w:rsid w:val="00B02528"/>
    <w:rsid w:val="00B03742"/>
    <w:rsid w:val="00B06A0B"/>
    <w:rsid w:val="00B0778D"/>
    <w:rsid w:val="00B113C2"/>
    <w:rsid w:val="00B120E2"/>
    <w:rsid w:val="00B13C8D"/>
    <w:rsid w:val="00B141DF"/>
    <w:rsid w:val="00B14759"/>
    <w:rsid w:val="00B14E44"/>
    <w:rsid w:val="00B1693E"/>
    <w:rsid w:val="00B17ECB"/>
    <w:rsid w:val="00B2149F"/>
    <w:rsid w:val="00B21FAB"/>
    <w:rsid w:val="00B225D5"/>
    <w:rsid w:val="00B23491"/>
    <w:rsid w:val="00B25E60"/>
    <w:rsid w:val="00B303BE"/>
    <w:rsid w:val="00B30635"/>
    <w:rsid w:val="00B3099C"/>
    <w:rsid w:val="00B3232E"/>
    <w:rsid w:val="00B3247B"/>
    <w:rsid w:val="00B33BBE"/>
    <w:rsid w:val="00B35A32"/>
    <w:rsid w:val="00B37A2B"/>
    <w:rsid w:val="00B37E86"/>
    <w:rsid w:val="00B41435"/>
    <w:rsid w:val="00B415F5"/>
    <w:rsid w:val="00B41DF2"/>
    <w:rsid w:val="00B42893"/>
    <w:rsid w:val="00B43BF4"/>
    <w:rsid w:val="00B44A02"/>
    <w:rsid w:val="00B44EB4"/>
    <w:rsid w:val="00B4523D"/>
    <w:rsid w:val="00B4682A"/>
    <w:rsid w:val="00B5083E"/>
    <w:rsid w:val="00B534AB"/>
    <w:rsid w:val="00B5387A"/>
    <w:rsid w:val="00B540AD"/>
    <w:rsid w:val="00B55420"/>
    <w:rsid w:val="00B556A6"/>
    <w:rsid w:val="00B55CE0"/>
    <w:rsid w:val="00B56FD4"/>
    <w:rsid w:val="00B57A6C"/>
    <w:rsid w:val="00B57ACC"/>
    <w:rsid w:val="00B603A6"/>
    <w:rsid w:val="00B6157F"/>
    <w:rsid w:val="00B62589"/>
    <w:rsid w:val="00B63017"/>
    <w:rsid w:val="00B63B1B"/>
    <w:rsid w:val="00B6405F"/>
    <w:rsid w:val="00B640EC"/>
    <w:rsid w:val="00B645B1"/>
    <w:rsid w:val="00B652C0"/>
    <w:rsid w:val="00B66C87"/>
    <w:rsid w:val="00B70543"/>
    <w:rsid w:val="00B70EE9"/>
    <w:rsid w:val="00B71861"/>
    <w:rsid w:val="00B71ADA"/>
    <w:rsid w:val="00B74738"/>
    <w:rsid w:val="00B7707D"/>
    <w:rsid w:val="00B83111"/>
    <w:rsid w:val="00B83565"/>
    <w:rsid w:val="00B83B51"/>
    <w:rsid w:val="00B83B93"/>
    <w:rsid w:val="00B8435B"/>
    <w:rsid w:val="00B848EF"/>
    <w:rsid w:val="00B85A91"/>
    <w:rsid w:val="00B85CC8"/>
    <w:rsid w:val="00B87510"/>
    <w:rsid w:val="00B87FE8"/>
    <w:rsid w:val="00B933A4"/>
    <w:rsid w:val="00B934BF"/>
    <w:rsid w:val="00B94230"/>
    <w:rsid w:val="00B951F3"/>
    <w:rsid w:val="00B961AF"/>
    <w:rsid w:val="00B961E5"/>
    <w:rsid w:val="00B96283"/>
    <w:rsid w:val="00B96B9D"/>
    <w:rsid w:val="00B973FB"/>
    <w:rsid w:val="00BA00A3"/>
    <w:rsid w:val="00BA0B07"/>
    <w:rsid w:val="00BA0E2D"/>
    <w:rsid w:val="00BA2318"/>
    <w:rsid w:val="00BA34EE"/>
    <w:rsid w:val="00BA3A74"/>
    <w:rsid w:val="00BA66EF"/>
    <w:rsid w:val="00BA6824"/>
    <w:rsid w:val="00BA7100"/>
    <w:rsid w:val="00BA7C73"/>
    <w:rsid w:val="00BA7F58"/>
    <w:rsid w:val="00BB0F31"/>
    <w:rsid w:val="00BB186D"/>
    <w:rsid w:val="00BB1F2C"/>
    <w:rsid w:val="00BB250B"/>
    <w:rsid w:val="00BB3B86"/>
    <w:rsid w:val="00BB42F9"/>
    <w:rsid w:val="00BB5924"/>
    <w:rsid w:val="00BB75A1"/>
    <w:rsid w:val="00BC01C1"/>
    <w:rsid w:val="00BC1E0D"/>
    <w:rsid w:val="00BC22CC"/>
    <w:rsid w:val="00BC5F58"/>
    <w:rsid w:val="00BC6457"/>
    <w:rsid w:val="00BC7B8C"/>
    <w:rsid w:val="00BD1849"/>
    <w:rsid w:val="00BD30E1"/>
    <w:rsid w:val="00BD3580"/>
    <w:rsid w:val="00BD39C6"/>
    <w:rsid w:val="00BD4313"/>
    <w:rsid w:val="00BD4659"/>
    <w:rsid w:val="00BD4938"/>
    <w:rsid w:val="00BD4FAC"/>
    <w:rsid w:val="00BD5F41"/>
    <w:rsid w:val="00BD738E"/>
    <w:rsid w:val="00BE0AC7"/>
    <w:rsid w:val="00BE1FA0"/>
    <w:rsid w:val="00BE4E39"/>
    <w:rsid w:val="00BE69D2"/>
    <w:rsid w:val="00BE7F3B"/>
    <w:rsid w:val="00BF052F"/>
    <w:rsid w:val="00BF1D1C"/>
    <w:rsid w:val="00BF2AAC"/>
    <w:rsid w:val="00BF3A97"/>
    <w:rsid w:val="00BF4521"/>
    <w:rsid w:val="00BF4B0F"/>
    <w:rsid w:val="00BF7839"/>
    <w:rsid w:val="00BF7952"/>
    <w:rsid w:val="00BF7CC4"/>
    <w:rsid w:val="00C003FB"/>
    <w:rsid w:val="00C0050E"/>
    <w:rsid w:val="00C011D9"/>
    <w:rsid w:val="00C013C1"/>
    <w:rsid w:val="00C01996"/>
    <w:rsid w:val="00C04825"/>
    <w:rsid w:val="00C04E43"/>
    <w:rsid w:val="00C060AB"/>
    <w:rsid w:val="00C06BCE"/>
    <w:rsid w:val="00C07096"/>
    <w:rsid w:val="00C10B7D"/>
    <w:rsid w:val="00C11DE4"/>
    <w:rsid w:val="00C12007"/>
    <w:rsid w:val="00C12093"/>
    <w:rsid w:val="00C12587"/>
    <w:rsid w:val="00C12E72"/>
    <w:rsid w:val="00C1448A"/>
    <w:rsid w:val="00C20759"/>
    <w:rsid w:val="00C209DE"/>
    <w:rsid w:val="00C2167A"/>
    <w:rsid w:val="00C24608"/>
    <w:rsid w:val="00C25347"/>
    <w:rsid w:val="00C26D92"/>
    <w:rsid w:val="00C27F3D"/>
    <w:rsid w:val="00C302AF"/>
    <w:rsid w:val="00C304A9"/>
    <w:rsid w:val="00C31200"/>
    <w:rsid w:val="00C31F71"/>
    <w:rsid w:val="00C33092"/>
    <w:rsid w:val="00C33862"/>
    <w:rsid w:val="00C35186"/>
    <w:rsid w:val="00C3602A"/>
    <w:rsid w:val="00C36677"/>
    <w:rsid w:val="00C405D1"/>
    <w:rsid w:val="00C40905"/>
    <w:rsid w:val="00C432BF"/>
    <w:rsid w:val="00C4711D"/>
    <w:rsid w:val="00C50851"/>
    <w:rsid w:val="00C5199C"/>
    <w:rsid w:val="00C51D30"/>
    <w:rsid w:val="00C52758"/>
    <w:rsid w:val="00C5290B"/>
    <w:rsid w:val="00C56FAB"/>
    <w:rsid w:val="00C575B9"/>
    <w:rsid w:val="00C577B7"/>
    <w:rsid w:val="00C57CE2"/>
    <w:rsid w:val="00C60529"/>
    <w:rsid w:val="00C62E75"/>
    <w:rsid w:val="00C643FB"/>
    <w:rsid w:val="00C6468D"/>
    <w:rsid w:val="00C65A87"/>
    <w:rsid w:val="00C66369"/>
    <w:rsid w:val="00C6646A"/>
    <w:rsid w:val="00C66533"/>
    <w:rsid w:val="00C66C22"/>
    <w:rsid w:val="00C675D6"/>
    <w:rsid w:val="00C70FBD"/>
    <w:rsid w:val="00C70FF2"/>
    <w:rsid w:val="00C71AC1"/>
    <w:rsid w:val="00C71F4E"/>
    <w:rsid w:val="00C726ED"/>
    <w:rsid w:val="00C72D07"/>
    <w:rsid w:val="00C73BD7"/>
    <w:rsid w:val="00C73F45"/>
    <w:rsid w:val="00C76F71"/>
    <w:rsid w:val="00C80840"/>
    <w:rsid w:val="00C82DF0"/>
    <w:rsid w:val="00C82FC9"/>
    <w:rsid w:val="00C839AF"/>
    <w:rsid w:val="00C842C8"/>
    <w:rsid w:val="00C84F10"/>
    <w:rsid w:val="00C8635A"/>
    <w:rsid w:val="00C87123"/>
    <w:rsid w:val="00C879D9"/>
    <w:rsid w:val="00C9080C"/>
    <w:rsid w:val="00C927F1"/>
    <w:rsid w:val="00C92A6A"/>
    <w:rsid w:val="00C9379D"/>
    <w:rsid w:val="00C96806"/>
    <w:rsid w:val="00C96CB0"/>
    <w:rsid w:val="00C97F54"/>
    <w:rsid w:val="00CA012E"/>
    <w:rsid w:val="00CA0624"/>
    <w:rsid w:val="00CA07CD"/>
    <w:rsid w:val="00CA2E7B"/>
    <w:rsid w:val="00CA32FF"/>
    <w:rsid w:val="00CA35C9"/>
    <w:rsid w:val="00CA36A7"/>
    <w:rsid w:val="00CA3F4D"/>
    <w:rsid w:val="00CA43A2"/>
    <w:rsid w:val="00CA4FCE"/>
    <w:rsid w:val="00CA535A"/>
    <w:rsid w:val="00CA5BBB"/>
    <w:rsid w:val="00CA70E3"/>
    <w:rsid w:val="00CB12E0"/>
    <w:rsid w:val="00CB456F"/>
    <w:rsid w:val="00CB490C"/>
    <w:rsid w:val="00CB6426"/>
    <w:rsid w:val="00CC09A6"/>
    <w:rsid w:val="00CC1B0D"/>
    <w:rsid w:val="00CC38EF"/>
    <w:rsid w:val="00CC5649"/>
    <w:rsid w:val="00CC5A0E"/>
    <w:rsid w:val="00CC5F44"/>
    <w:rsid w:val="00CD051F"/>
    <w:rsid w:val="00CD1BAF"/>
    <w:rsid w:val="00CD2121"/>
    <w:rsid w:val="00CD2F8C"/>
    <w:rsid w:val="00CD3F13"/>
    <w:rsid w:val="00CD482A"/>
    <w:rsid w:val="00CD4A16"/>
    <w:rsid w:val="00CE0482"/>
    <w:rsid w:val="00CE371A"/>
    <w:rsid w:val="00CE371C"/>
    <w:rsid w:val="00CE494D"/>
    <w:rsid w:val="00CE66BA"/>
    <w:rsid w:val="00CF01EC"/>
    <w:rsid w:val="00CF0A88"/>
    <w:rsid w:val="00CF0CB6"/>
    <w:rsid w:val="00CF0E8D"/>
    <w:rsid w:val="00CF1035"/>
    <w:rsid w:val="00CF1DCA"/>
    <w:rsid w:val="00CF44F5"/>
    <w:rsid w:val="00CF470B"/>
    <w:rsid w:val="00CF6226"/>
    <w:rsid w:val="00CF670F"/>
    <w:rsid w:val="00CF6D6D"/>
    <w:rsid w:val="00CF74A5"/>
    <w:rsid w:val="00D013EF"/>
    <w:rsid w:val="00D01C31"/>
    <w:rsid w:val="00D04CB6"/>
    <w:rsid w:val="00D0554F"/>
    <w:rsid w:val="00D060D5"/>
    <w:rsid w:val="00D10249"/>
    <w:rsid w:val="00D1123A"/>
    <w:rsid w:val="00D125FA"/>
    <w:rsid w:val="00D13DEA"/>
    <w:rsid w:val="00D14BF5"/>
    <w:rsid w:val="00D17588"/>
    <w:rsid w:val="00D24009"/>
    <w:rsid w:val="00D25520"/>
    <w:rsid w:val="00D27049"/>
    <w:rsid w:val="00D27BD0"/>
    <w:rsid w:val="00D32DC0"/>
    <w:rsid w:val="00D344A6"/>
    <w:rsid w:val="00D34A22"/>
    <w:rsid w:val="00D35413"/>
    <w:rsid w:val="00D4067A"/>
    <w:rsid w:val="00D406E5"/>
    <w:rsid w:val="00D40ADC"/>
    <w:rsid w:val="00D41497"/>
    <w:rsid w:val="00D42602"/>
    <w:rsid w:val="00D4264A"/>
    <w:rsid w:val="00D43A94"/>
    <w:rsid w:val="00D43D72"/>
    <w:rsid w:val="00D45E57"/>
    <w:rsid w:val="00D47372"/>
    <w:rsid w:val="00D4753A"/>
    <w:rsid w:val="00D4767E"/>
    <w:rsid w:val="00D47AB8"/>
    <w:rsid w:val="00D5091F"/>
    <w:rsid w:val="00D51E8B"/>
    <w:rsid w:val="00D52ED5"/>
    <w:rsid w:val="00D55297"/>
    <w:rsid w:val="00D569F3"/>
    <w:rsid w:val="00D56DBE"/>
    <w:rsid w:val="00D574D0"/>
    <w:rsid w:val="00D60298"/>
    <w:rsid w:val="00D60339"/>
    <w:rsid w:val="00D6246B"/>
    <w:rsid w:val="00D63C3B"/>
    <w:rsid w:val="00D63F03"/>
    <w:rsid w:val="00D64194"/>
    <w:rsid w:val="00D647B0"/>
    <w:rsid w:val="00D66698"/>
    <w:rsid w:val="00D666F3"/>
    <w:rsid w:val="00D66BE8"/>
    <w:rsid w:val="00D679B8"/>
    <w:rsid w:val="00D735E5"/>
    <w:rsid w:val="00D76510"/>
    <w:rsid w:val="00D770E9"/>
    <w:rsid w:val="00D77A6D"/>
    <w:rsid w:val="00D77D9C"/>
    <w:rsid w:val="00D80B79"/>
    <w:rsid w:val="00D8219F"/>
    <w:rsid w:val="00D82E33"/>
    <w:rsid w:val="00D83716"/>
    <w:rsid w:val="00D85051"/>
    <w:rsid w:val="00D8559A"/>
    <w:rsid w:val="00D859C0"/>
    <w:rsid w:val="00D85CF0"/>
    <w:rsid w:val="00D860BE"/>
    <w:rsid w:val="00D8684B"/>
    <w:rsid w:val="00D8695C"/>
    <w:rsid w:val="00D86E1C"/>
    <w:rsid w:val="00D875CB"/>
    <w:rsid w:val="00D8789D"/>
    <w:rsid w:val="00D87ED3"/>
    <w:rsid w:val="00D9095F"/>
    <w:rsid w:val="00D91EB0"/>
    <w:rsid w:val="00D92A4B"/>
    <w:rsid w:val="00D945CD"/>
    <w:rsid w:val="00D9619D"/>
    <w:rsid w:val="00D967FC"/>
    <w:rsid w:val="00D97D8B"/>
    <w:rsid w:val="00DA199E"/>
    <w:rsid w:val="00DA1BFE"/>
    <w:rsid w:val="00DA2BFA"/>
    <w:rsid w:val="00DA3959"/>
    <w:rsid w:val="00DA49E9"/>
    <w:rsid w:val="00DA70DA"/>
    <w:rsid w:val="00DA7E9C"/>
    <w:rsid w:val="00DB00F8"/>
    <w:rsid w:val="00DB1433"/>
    <w:rsid w:val="00DB2872"/>
    <w:rsid w:val="00DB326D"/>
    <w:rsid w:val="00DB4996"/>
    <w:rsid w:val="00DB5A51"/>
    <w:rsid w:val="00DB6032"/>
    <w:rsid w:val="00DB6574"/>
    <w:rsid w:val="00DB7000"/>
    <w:rsid w:val="00DB78C1"/>
    <w:rsid w:val="00DB7CB3"/>
    <w:rsid w:val="00DC0565"/>
    <w:rsid w:val="00DC1993"/>
    <w:rsid w:val="00DC2EAA"/>
    <w:rsid w:val="00DC3BC0"/>
    <w:rsid w:val="00DC41B8"/>
    <w:rsid w:val="00DC4E99"/>
    <w:rsid w:val="00DC5401"/>
    <w:rsid w:val="00DC7A78"/>
    <w:rsid w:val="00DD08D1"/>
    <w:rsid w:val="00DD0A9E"/>
    <w:rsid w:val="00DD0C3F"/>
    <w:rsid w:val="00DD1BA9"/>
    <w:rsid w:val="00DD37B8"/>
    <w:rsid w:val="00DD4A93"/>
    <w:rsid w:val="00DD4DD1"/>
    <w:rsid w:val="00DE43FE"/>
    <w:rsid w:val="00DE5F77"/>
    <w:rsid w:val="00DE7296"/>
    <w:rsid w:val="00DE72D1"/>
    <w:rsid w:val="00DF29C2"/>
    <w:rsid w:val="00DF380A"/>
    <w:rsid w:val="00DF3DED"/>
    <w:rsid w:val="00DF3F4D"/>
    <w:rsid w:val="00DF46F1"/>
    <w:rsid w:val="00DF5984"/>
    <w:rsid w:val="00DF7466"/>
    <w:rsid w:val="00E00B87"/>
    <w:rsid w:val="00E01F3A"/>
    <w:rsid w:val="00E02C50"/>
    <w:rsid w:val="00E04390"/>
    <w:rsid w:val="00E04B44"/>
    <w:rsid w:val="00E05FD8"/>
    <w:rsid w:val="00E065F0"/>
    <w:rsid w:val="00E1313F"/>
    <w:rsid w:val="00E2154E"/>
    <w:rsid w:val="00E23E43"/>
    <w:rsid w:val="00E24C4D"/>
    <w:rsid w:val="00E24D93"/>
    <w:rsid w:val="00E260CB"/>
    <w:rsid w:val="00E26BF0"/>
    <w:rsid w:val="00E329E7"/>
    <w:rsid w:val="00E36B15"/>
    <w:rsid w:val="00E37829"/>
    <w:rsid w:val="00E37F66"/>
    <w:rsid w:val="00E405D6"/>
    <w:rsid w:val="00E41AA0"/>
    <w:rsid w:val="00E41B2C"/>
    <w:rsid w:val="00E41D21"/>
    <w:rsid w:val="00E4670F"/>
    <w:rsid w:val="00E47DB6"/>
    <w:rsid w:val="00E52AAE"/>
    <w:rsid w:val="00E52B4E"/>
    <w:rsid w:val="00E54FB7"/>
    <w:rsid w:val="00E56120"/>
    <w:rsid w:val="00E57D1C"/>
    <w:rsid w:val="00E60004"/>
    <w:rsid w:val="00E60486"/>
    <w:rsid w:val="00E6340F"/>
    <w:rsid w:val="00E644D2"/>
    <w:rsid w:val="00E66220"/>
    <w:rsid w:val="00E66E4D"/>
    <w:rsid w:val="00E71A22"/>
    <w:rsid w:val="00E71BC2"/>
    <w:rsid w:val="00E72C02"/>
    <w:rsid w:val="00E73270"/>
    <w:rsid w:val="00E73F60"/>
    <w:rsid w:val="00E74204"/>
    <w:rsid w:val="00E743D4"/>
    <w:rsid w:val="00E765EE"/>
    <w:rsid w:val="00E76F59"/>
    <w:rsid w:val="00E77F84"/>
    <w:rsid w:val="00E822A5"/>
    <w:rsid w:val="00E82323"/>
    <w:rsid w:val="00E828AE"/>
    <w:rsid w:val="00E83DD8"/>
    <w:rsid w:val="00E8476D"/>
    <w:rsid w:val="00E85BE8"/>
    <w:rsid w:val="00E90978"/>
    <w:rsid w:val="00E90A92"/>
    <w:rsid w:val="00E90D1D"/>
    <w:rsid w:val="00E92080"/>
    <w:rsid w:val="00E93F74"/>
    <w:rsid w:val="00E97932"/>
    <w:rsid w:val="00EA3F4C"/>
    <w:rsid w:val="00EA7E30"/>
    <w:rsid w:val="00EB0576"/>
    <w:rsid w:val="00EB1F26"/>
    <w:rsid w:val="00EB2625"/>
    <w:rsid w:val="00EB3089"/>
    <w:rsid w:val="00EB3AD3"/>
    <w:rsid w:val="00EB3EFA"/>
    <w:rsid w:val="00EB43B1"/>
    <w:rsid w:val="00EB4713"/>
    <w:rsid w:val="00EB4D1A"/>
    <w:rsid w:val="00EB5232"/>
    <w:rsid w:val="00EB5247"/>
    <w:rsid w:val="00EB7583"/>
    <w:rsid w:val="00EB7AF8"/>
    <w:rsid w:val="00EC09A9"/>
    <w:rsid w:val="00EC1E59"/>
    <w:rsid w:val="00EC3787"/>
    <w:rsid w:val="00EC6B98"/>
    <w:rsid w:val="00EC7A56"/>
    <w:rsid w:val="00ED1955"/>
    <w:rsid w:val="00ED21EB"/>
    <w:rsid w:val="00ED2695"/>
    <w:rsid w:val="00ED301C"/>
    <w:rsid w:val="00ED372C"/>
    <w:rsid w:val="00ED392B"/>
    <w:rsid w:val="00ED3FB2"/>
    <w:rsid w:val="00ED4312"/>
    <w:rsid w:val="00ED43B8"/>
    <w:rsid w:val="00ED450E"/>
    <w:rsid w:val="00ED46E5"/>
    <w:rsid w:val="00ED5310"/>
    <w:rsid w:val="00ED67CE"/>
    <w:rsid w:val="00ED69DA"/>
    <w:rsid w:val="00ED71AC"/>
    <w:rsid w:val="00EE047C"/>
    <w:rsid w:val="00EE0D47"/>
    <w:rsid w:val="00EE0EE2"/>
    <w:rsid w:val="00EE22C2"/>
    <w:rsid w:val="00EE246A"/>
    <w:rsid w:val="00EE2BB3"/>
    <w:rsid w:val="00EE346A"/>
    <w:rsid w:val="00EE3710"/>
    <w:rsid w:val="00EE5845"/>
    <w:rsid w:val="00EE66E3"/>
    <w:rsid w:val="00EE70EE"/>
    <w:rsid w:val="00EF5500"/>
    <w:rsid w:val="00EF59B2"/>
    <w:rsid w:val="00EF5AB3"/>
    <w:rsid w:val="00EF646C"/>
    <w:rsid w:val="00EF66AA"/>
    <w:rsid w:val="00F00646"/>
    <w:rsid w:val="00F01279"/>
    <w:rsid w:val="00F02827"/>
    <w:rsid w:val="00F04B47"/>
    <w:rsid w:val="00F04D62"/>
    <w:rsid w:val="00F062D9"/>
    <w:rsid w:val="00F0634C"/>
    <w:rsid w:val="00F069C2"/>
    <w:rsid w:val="00F0784C"/>
    <w:rsid w:val="00F11568"/>
    <w:rsid w:val="00F11AFD"/>
    <w:rsid w:val="00F11F15"/>
    <w:rsid w:val="00F12B17"/>
    <w:rsid w:val="00F156F4"/>
    <w:rsid w:val="00F170AA"/>
    <w:rsid w:val="00F174AB"/>
    <w:rsid w:val="00F17927"/>
    <w:rsid w:val="00F17A52"/>
    <w:rsid w:val="00F21A4C"/>
    <w:rsid w:val="00F21AAE"/>
    <w:rsid w:val="00F2304A"/>
    <w:rsid w:val="00F237B8"/>
    <w:rsid w:val="00F23C1D"/>
    <w:rsid w:val="00F24084"/>
    <w:rsid w:val="00F2492A"/>
    <w:rsid w:val="00F24F9F"/>
    <w:rsid w:val="00F26F09"/>
    <w:rsid w:val="00F310D3"/>
    <w:rsid w:val="00F32A9D"/>
    <w:rsid w:val="00F3635D"/>
    <w:rsid w:val="00F377F4"/>
    <w:rsid w:val="00F37AEA"/>
    <w:rsid w:val="00F4048E"/>
    <w:rsid w:val="00F40BFC"/>
    <w:rsid w:val="00F41596"/>
    <w:rsid w:val="00F42C6F"/>
    <w:rsid w:val="00F44EC4"/>
    <w:rsid w:val="00F462F6"/>
    <w:rsid w:val="00F47A46"/>
    <w:rsid w:val="00F47FB9"/>
    <w:rsid w:val="00F5036F"/>
    <w:rsid w:val="00F514D1"/>
    <w:rsid w:val="00F51DA5"/>
    <w:rsid w:val="00F530CF"/>
    <w:rsid w:val="00F553E0"/>
    <w:rsid w:val="00F558F5"/>
    <w:rsid w:val="00F56242"/>
    <w:rsid w:val="00F611D8"/>
    <w:rsid w:val="00F63B6D"/>
    <w:rsid w:val="00F64D14"/>
    <w:rsid w:val="00F670A5"/>
    <w:rsid w:val="00F71136"/>
    <w:rsid w:val="00F731F3"/>
    <w:rsid w:val="00F732DC"/>
    <w:rsid w:val="00F76276"/>
    <w:rsid w:val="00F80C54"/>
    <w:rsid w:val="00F80CFF"/>
    <w:rsid w:val="00F81DAC"/>
    <w:rsid w:val="00F82995"/>
    <w:rsid w:val="00F83709"/>
    <w:rsid w:val="00F9081E"/>
    <w:rsid w:val="00F910FE"/>
    <w:rsid w:val="00F922BA"/>
    <w:rsid w:val="00F92429"/>
    <w:rsid w:val="00F93DA3"/>
    <w:rsid w:val="00F963B7"/>
    <w:rsid w:val="00FA0DB6"/>
    <w:rsid w:val="00FA1209"/>
    <w:rsid w:val="00FA3827"/>
    <w:rsid w:val="00FA3DAB"/>
    <w:rsid w:val="00FA482E"/>
    <w:rsid w:val="00FA514A"/>
    <w:rsid w:val="00FA633C"/>
    <w:rsid w:val="00FA647A"/>
    <w:rsid w:val="00FA7EFF"/>
    <w:rsid w:val="00FB1019"/>
    <w:rsid w:val="00FB3CA2"/>
    <w:rsid w:val="00FB4AC1"/>
    <w:rsid w:val="00FB5AE1"/>
    <w:rsid w:val="00FB732F"/>
    <w:rsid w:val="00FB7BC5"/>
    <w:rsid w:val="00FC0161"/>
    <w:rsid w:val="00FC03DA"/>
    <w:rsid w:val="00FC1390"/>
    <w:rsid w:val="00FC2936"/>
    <w:rsid w:val="00FC4031"/>
    <w:rsid w:val="00FC46BA"/>
    <w:rsid w:val="00FC4D68"/>
    <w:rsid w:val="00FC5903"/>
    <w:rsid w:val="00FC7AE1"/>
    <w:rsid w:val="00FC7B2E"/>
    <w:rsid w:val="00FD17A7"/>
    <w:rsid w:val="00FD2093"/>
    <w:rsid w:val="00FD3BD4"/>
    <w:rsid w:val="00FD563B"/>
    <w:rsid w:val="00FD578B"/>
    <w:rsid w:val="00FD5878"/>
    <w:rsid w:val="00FD7920"/>
    <w:rsid w:val="00FE1561"/>
    <w:rsid w:val="00FE49D1"/>
    <w:rsid w:val="00FE4C62"/>
    <w:rsid w:val="00FE6BD4"/>
    <w:rsid w:val="00FE70B2"/>
    <w:rsid w:val="00FF0567"/>
    <w:rsid w:val="00FF0B6A"/>
    <w:rsid w:val="00FF28BC"/>
    <w:rsid w:val="00FF2A61"/>
    <w:rsid w:val="00FF497A"/>
    <w:rsid w:val="00FF4EC1"/>
    <w:rsid w:val="00FF4EC4"/>
    <w:rsid w:val="00FF5547"/>
    <w:rsid w:val="00FF574F"/>
    <w:rsid w:val="00FF59E4"/>
    <w:rsid w:val="00FF5FC7"/>
    <w:rsid w:val="00FF648A"/>
    <w:rsid w:val="00FF6E5B"/>
    <w:rsid w:val="00FF7D33"/>
    <w:rsid w:val="F7ED55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560" w:firstLineChars="200"/>
    </w:pPr>
    <w:rPr>
      <w:rFonts w:asciiTheme="minorHAnsi" w:hAnsiTheme="minorHAnsi" w:eastAsiaTheme="minorEastAsia" w:cstheme="minorBidi"/>
      <w:kern w:val="2"/>
      <w:sz w:val="28"/>
      <w:szCs w:val="22"/>
      <w:lang w:val="en-US" w:eastAsia="zh-CN" w:bidi="ar-SA"/>
    </w:rPr>
  </w:style>
  <w:style w:type="paragraph" w:styleId="2">
    <w:name w:val="heading 1"/>
    <w:basedOn w:val="1"/>
    <w:next w:val="1"/>
    <w:link w:val="19"/>
    <w:qFormat/>
    <w:uiPriority w:val="9"/>
    <w:pPr>
      <w:keepNext/>
      <w:keepLines/>
      <w:numPr>
        <w:ilvl w:val="0"/>
        <w:numId w:val="1"/>
      </w:numPr>
      <w:spacing w:before="340" w:after="330" w:line="480" w:lineRule="auto"/>
      <w:ind w:firstLine="0" w:firstLineChars="0"/>
      <w:outlineLvl w:val="0"/>
    </w:pPr>
    <w:rPr>
      <w:b/>
      <w:bCs/>
      <w:kern w:val="44"/>
      <w:sz w:val="32"/>
      <w:szCs w:val="44"/>
    </w:rPr>
  </w:style>
  <w:style w:type="paragraph" w:styleId="3">
    <w:name w:val="heading 2"/>
    <w:basedOn w:val="1"/>
    <w:next w:val="1"/>
    <w:link w:val="20"/>
    <w:unhideWhenUsed/>
    <w:qFormat/>
    <w:uiPriority w:val="9"/>
    <w:pPr>
      <w:keepNext/>
      <w:keepLines/>
      <w:spacing w:before="260" w:after="260" w:line="416" w:lineRule="auto"/>
      <w:outlineLvl w:val="1"/>
    </w:pPr>
    <w:rPr>
      <w:rFonts w:asciiTheme="majorHAnsi" w:hAnsiTheme="majorHAnsi" w:eastAsiaTheme="majorEastAsia" w:cstheme="majorBidi"/>
      <w:b/>
      <w:bCs/>
      <w:sz w:val="30"/>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25"/>
    <w:semiHidden/>
    <w:unhideWhenUsed/>
    <w:qFormat/>
    <w:uiPriority w:val="99"/>
  </w:style>
  <w:style w:type="paragraph" w:styleId="5">
    <w:name w:val="toc 3"/>
    <w:basedOn w:val="1"/>
    <w:next w:val="1"/>
    <w:unhideWhenUsed/>
    <w:qFormat/>
    <w:uiPriority w:val="39"/>
    <w:pPr>
      <w:widowControl/>
      <w:spacing w:after="100" w:line="259" w:lineRule="auto"/>
      <w:ind w:left="440" w:firstLine="0" w:firstLineChars="0"/>
    </w:pPr>
    <w:rPr>
      <w:rFonts w:cs="Times New Roman"/>
      <w:kern w:val="0"/>
      <w:sz w:val="22"/>
    </w:rPr>
  </w:style>
  <w:style w:type="paragraph" w:styleId="6">
    <w:name w:val="Date"/>
    <w:basedOn w:val="1"/>
    <w:next w:val="1"/>
    <w:link w:val="22"/>
    <w:semiHidden/>
    <w:unhideWhenUsed/>
    <w:qFormat/>
    <w:uiPriority w:val="99"/>
    <w:pPr>
      <w:ind w:left="100" w:leftChars="2500"/>
    </w:pPr>
  </w:style>
  <w:style w:type="paragraph" w:styleId="7">
    <w:name w:val="Balloon Text"/>
    <w:basedOn w:val="1"/>
    <w:link w:val="24"/>
    <w:semiHidden/>
    <w:unhideWhenUsed/>
    <w:qFormat/>
    <w:uiPriority w:val="99"/>
    <w:pPr>
      <w:spacing w:line="240" w:lineRule="auto"/>
    </w:pPr>
    <w:rPr>
      <w:sz w:val="18"/>
      <w:szCs w:val="18"/>
    </w:rPr>
  </w:style>
  <w:style w:type="paragraph" w:styleId="8">
    <w:name w:val="footer"/>
    <w:basedOn w:val="1"/>
    <w:link w:val="18"/>
    <w:unhideWhenUsed/>
    <w:qFormat/>
    <w:uiPriority w:val="99"/>
    <w:pPr>
      <w:tabs>
        <w:tab w:val="center" w:pos="4153"/>
        <w:tab w:val="right" w:pos="8306"/>
      </w:tabs>
      <w:snapToGrid w:val="0"/>
    </w:pPr>
    <w:rPr>
      <w:sz w:val="18"/>
      <w:szCs w:val="18"/>
    </w:rPr>
  </w:style>
  <w:style w:type="paragraph" w:styleId="9">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unhideWhenUsed/>
    <w:qFormat/>
    <w:uiPriority w:val="39"/>
    <w:pPr>
      <w:widowControl/>
      <w:spacing w:after="100" w:line="259" w:lineRule="auto"/>
      <w:ind w:firstLine="0" w:firstLineChars="0"/>
    </w:pPr>
    <w:rPr>
      <w:rFonts w:cs="Times New Roman"/>
      <w:kern w:val="0"/>
      <w:sz w:val="22"/>
    </w:rPr>
  </w:style>
  <w:style w:type="paragraph" w:styleId="11">
    <w:name w:val="toc 2"/>
    <w:basedOn w:val="1"/>
    <w:next w:val="1"/>
    <w:unhideWhenUsed/>
    <w:qFormat/>
    <w:uiPriority w:val="39"/>
    <w:pPr>
      <w:widowControl/>
      <w:tabs>
        <w:tab w:val="left" w:pos="840"/>
        <w:tab w:val="right" w:leader="dot" w:pos="8296"/>
      </w:tabs>
      <w:spacing w:after="100"/>
      <w:ind w:left="220" w:firstLine="0" w:firstLineChars="0"/>
    </w:pPr>
    <w:rPr>
      <w:rFonts w:cs="Times New Roman"/>
      <w:kern w:val="0"/>
      <w:sz w:val="22"/>
    </w:rPr>
  </w:style>
  <w:style w:type="paragraph" w:styleId="12">
    <w:name w:val="annotation subject"/>
    <w:basedOn w:val="4"/>
    <w:next w:val="4"/>
    <w:link w:val="26"/>
    <w:semiHidden/>
    <w:unhideWhenUsed/>
    <w:qFormat/>
    <w:uiPriority w:val="99"/>
    <w:rPr>
      <w:b/>
      <w:bCs/>
    </w:rPr>
  </w:style>
  <w:style w:type="character" w:styleId="15">
    <w:name w:val="Hyperlink"/>
    <w:basedOn w:val="14"/>
    <w:unhideWhenUsed/>
    <w:qFormat/>
    <w:uiPriority w:val="99"/>
    <w:rPr>
      <w:color w:val="0000FF" w:themeColor="hyperlink"/>
      <w:u w:val="single"/>
      <w14:textFill>
        <w14:solidFill>
          <w14:schemeClr w14:val="hlink"/>
        </w14:solidFill>
      </w14:textFill>
    </w:rPr>
  </w:style>
  <w:style w:type="character" w:styleId="16">
    <w:name w:val="annotation reference"/>
    <w:basedOn w:val="14"/>
    <w:semiHidden/>
    <w:unhideWhenUsed/>
    <w:qFormat/>
    <w:uiPriority w:val="99"/>
    <w:rPr>
      <w:sz w:val="21"/>
      <w:szCs w:val="21"/>
    </w:rPr>
  </w:style>
  <w:style w:type="character" w:customStyle="1" w:styleId="17">
    <w:name w:val="页眉 字符"/>
    <w:basedOn w:val="14"/>
    <w:link w:val="9"/>
    <w:qFormat/>
    <w:uiPriority w:val="99"/>
    <w:rPr>
      <w:sz w:val="18"/>
      <w:szCs w:val="18"/>
    </w:rPr>
  </w:style>
  <w:style w:type="character" w:customStyle="1" w:styleId="18">
    <w:name w:val="页脚 字符"/>
    <w:basedOn w:val="14"/>
    <w:link w:val="8"/>
    <w:qFormat/>
    <w:uiPriority w:val="99"/>
    <w:rPr>
      <w:sz w:val="18"/>
      <w:szCs w:val="18"/>
    </w:rPr>
  </w:style>
  <w:style w:type="character" w:customStyle="1" w:styleId="19">
    <w:name w:val="标题 1 字符"/>
    <w:basedOn w:val="14"/>
    <w:link w:val="2"/>
    <w:qFormat/>
    <w:uiPriority w:val="9"/>
    <w:rPr>
      <w:b/>
      <w:bCs/>
      <w:kern w:val="44"/>
      <w:sz w:val="32"/>
      <w:szCs w:val="44"/>
    </w:rPr>
  </w:style>
  <w:style w:type="character" w:customStyle="1" w:styleId="20">
    <w:name w:val="标题 2 字符"/>
    <w:basedOn w:val="14"/>
    <w:link w:val="3"/>
    <w:qFormat/>
    <w:uiPriority w:val="9"/>
    <w:rPr>
      <w:rFonts w:asciiTheme="majorHAnsi" w:hAnsiTheme="majorHAnsi" w:eastAsiaTheme="majorEastAsia" w:cstheme="majorBidi"/>
      <w:b/>
      <w:bCs/>
      <w:sz w:val="30"/>
      <w:szCs w:val="32"/>
    </w:rPr>
  </w:style>
  <w:style w:type="paragraph" w:styleId="21">
    <w:name w:val="List Paragraph"/>
    <w:basedOn w:val="1"/>
    <w:qFormat/>
    <w:uiPriority w:val="34"/>
    <w:pPr>
      <w:ind w:firstLine="420"/>
    </w:pPr>
  </w:style>
  <w:style w:type="character" w:customStyle="1" w:styleId="22">
    <w:name w:val="日期 字符"/>
    <w:basedOn w:val="14"/>
    <w:link w:val="6"/>
    <w:semiHidden/>
    <w:qFormat/>
    <w:uiPriority w:val="99"/>
    <w:rPr>
      <w:sz w:val="28"/>
    </w:rPr>
  </w:style>
  <w:style w:type="paragraph" w:customStyle="1" w:styleId="23">
    <w:name w:val="TOC Heading"/>
    <w:basedOn w:val="2"/>
    <w:next w:val="1"/>
    <w:unhideWhenUsed/>
    <w:qFormat/>
    <w:uiPriority w:val="39"/>
    <w:pPr>
      <w:widowControl/>
      <w:numPr>
        <w:numId w:val="0"/>
      </w:numPr>
      <w:spacing w:before="240" w:after="0" w:line="259" w:lineRule="auto"/>
      <w:outlineLvl w:val="9"/>
    </w:pPr>
    <w:rPr>
      <w:rFonts w:asciiTheme="majorHAnsi" w:hAnsiTheme="majorHAnsi" w:eastAsiaTheme="majorEastAsia" w:cstheme="majorBidi"/>
      <w:b w:val="0"/>
      <w:bCs w:val="0"/>
      <w:color w:val="376092" w:themeColor="accent1" w:themeShade="BF"/>
      <w:kern w:val="0"/>
      <w:szCs w:val="32"/>
    </w:rPr>
  </w:style>
  <w:style w:type="character" w:customStyle="1" w:styleId="24">
    <w:name w:val="批注框文本 字符"/>
    <w:basedOn w:val="14"/>
    <w:link w:val="7"/>
    <w:semiHidden/>
    <w:qFormat/>
    <w:uiPriority w:val="99"/>
    <w:rPr>
      <w:sz w:val="18"/>
      <w:szCs w:val="18"/>
    </w:rPr>
  </w:style>
  <w:style w:type="character" w:customStyle="1" w:styleId="25">
    <w:name w:val="批注文字 字符"/>
    <w:basedOn w:val="14"/>
    <w:link w:val="4"/>
    <w:semiHidden/>
    <w:qFormat/>
    <w:uiPriority w:val="99"/>
    <w:rPr>
      <w:sz w:val="28"/>
    </w:rPr>
  </w:style>
  <w:style w:type="character" w:customStyle="1" w:styleId="26">
    <w:name w:val="批注主题 字符"/>
    <w:basedOn w:val="25"/>
    <w:link w:val="12"/>
    <w:semiHidden/>
    <w:qFormat/>
    <w:uiPriority w:val="99"/>
    <w:rPr>
      <w:b/>
      <w:bCs/>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4.jpeg"/><Relationship Id="rId17" Type="http://schemas.openxmlformats.org/officeDocument/2006/relationships/image" Target="media/image3.jpeg"/><Relationship Id="rId16" Type="http://schemas.openxmlformats.org/officeDocument/2006/relationships/image" Target="media/image2.png"/><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34</Pages>
  <Words>2270</Words>
  <Characters>12939</Characters>
  <Lines>107</Lines>
  <Paragraphs>30</Paragraphs>
  <TotalTime>0</TotalTime>
  <ScaleCrop>false</ScaleCrop>
  <LinksUpToDate>false</LinksUpToDate>
  <CharactersWithSpaces>15179</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2023-07-17T13:11:00Z</dcterms:created>
  <dc:creator>微软用户</dc:creator>
  <cp:lastModifiedBy>fushunshi</cp:lastModifiedBy>
  <cp:lastPrinted>2022-05-31T15:50:00Z</cp:lastPrinted>
  <dcterms:modified xsi:type="dcterms:W3CDTF">2023-11-15T15:15:44Z</dcterms:modified>
  <cp:revision>313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