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val="0"/>
        <w:wordWrap/>
        <w:overflowPunct/>
        <w:topLinePunct w:val="0"/>
        <w:autoSpaceDE w:val="0"/>
        <w:autoSpaceDN w:val="0"/>
        <w:bidi w:val="0"/>
        <w:adjustRightInd w:val="0"/>
        <w:snapToGrid w:val="0"/>
        <w:spacing w:line="560" w:lineRule="exact"/>
        <w:ind w:left="6" w:right="85" w:firstLine="624"/>
        <w:jc w:val="center"/>
        <w:textAlignment w:val="baseline"/>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b w:val="0"/>
          <w:bCs w:val="0"/>
          <w:spacing w:val="5"/>
          <w:sz w:val="44"/>
          <w:szCs w:val="44"/>
          <w:lang w:eastAsia="zh-CN"/>
        </w:rPr>
        <w:t>东洲区其他食品（新食品原料</w:t>
      </w:r>
      <w:r>
        <w:rPr>
          <w:rFonts w:hint="eastAsia" w:ascii="方正小标宋简体" w:hAnsi="方正小标宋简体" w:eastAsia="方正小标宋简体" w:cs="方正小标宋简体"/>
          <w:b w:val="0"/>
          <w:bCs w:val="0"/>
          <w:spacing w:val="5"/>
          <w:sz w:val="44"/>
          <w:szCs w:val="44"/>
          <w:lang w:eastAsia="zh-CN"/>
        </w:rPr>
        <w:t xml:space="preserve">  L-</w:t>
      </w:r>
      <w:r>
        <w:rPr>
          <w:rFonts w:hint="eastAsia" w:ascii="方正小标宋简体" w:hAnsi="方正小标宋简体" w:eastAsia="方正小标宋简体" w:cs="方正小标宋简体"/>
          <w:b w:val="0"/>
          <w:bCs w:val="0"/>
          <w:spacing w:val="5"/>
          <w:sz w:val="44"/>
          <w:szCs w:val="44"/>
          <w:lang w:eastAsia="zh-CN"/>
        </w:rPr>
        <w:t>α</w:t>
      </w:r>
      <w:r>
        <w:rPr>
          <w:rFonts w:hint="eastAsia" w:ascii="方正小标宋简体" w:hAnsi="方正小标宋简体" w:eastAsia="方正小标宋简体" w:cs="方正小标宋简体"/>
          <w:b w:val="0"/>
          <w:bCs w:val="0"/>
          <w:spacing w:val="5"/>
          <w:sz w:val="44"/>
          <w:szCs w:val="44"/>
          <w:lang w:eastAsia="zh-CN"/>
        </w:rPr>
        <w:t>-</w:t>
      </w:r>
      <w:r>
        <w:rPr>
          <w:rFonts w:hint="eastAsia" w:ascii="方正小标宋简体" w:hAnsi="方正小标宋简体" w:eastAsia="方正小标宋简体" w:cs="方正小标宋简体"/>
          <w:b w:val="0"/>
          <w:bCs w:val="0"/>
          <w:spacing w:val="5"/>
          <w:sz w:val="44"/>
          <w:szCs w:val="44"/>
          <w:lang w:eastAsia="zh-CN"/>
        </w:rPr>
        <w:t>甘磷酸胆碱）生产许可审查方案</w:t>
      </w:r>
    </w:p>
    <w:p>
      <w:pPr>
        <w:pStyle w:val="3"/>
        <w:spacing w:line="258" w:lineRule="auto"/>
        <w:rPr>
          <w:rFonts w:ascii="Times New Roman" w:hAnsi="Times New Roman" w:cs="Times New Roman"/>
          <w:lang w:eastAsia="zh-CN"/>
        </w:rPr>
      </w:pPr>
    </w:p>
    <w:p>
      <w:pPr>
        <w:spacing w:before="101" w:line="412" w:lineRule="exact"/>
        <w:jc w:val="center"/>
        <w:rPr>
          <w:rFonts w:hint="eastAsia" w:ascii="黑体" w:hAnsi="黑体" w:eastAsia="黑体" w:cs="黑体"/>
          <w:b w:val="0"/>
          <w:bCs/>
          <w:sz w:val="28"/>
          <w:szCs w:val="28"/>
          <w:lang w:eastAsia="zh-CN"/>
        </w:rPr>
      </w:pPr>
      <w:bookmarkStart w:id="0" w:name="OLE_LINK9"/>
      <w:r>
        <w:rPr>
          <w:rFonts w:hint="eastAsia" w:ascii="黑体" w:hAnsi="黑体" w:eastAsia="黑体" w:cs="黑体"/>
          <w:b w:val="0"/>
          <w:bCs/>
          <w:spacing w:val="-1"/>
          <w:position w:val="1"/>
          <w:sz w:val="28"/>
          <w:szCs w:val="28"/>
          <w:lang w:eastAsia="zh-CN"/>
        </w:rPr>
        <w:t>第一章</w:t>
      </w:r>
      <w:r>
        <w:rPr>
          <w:rFonts w:hint="eastAsia" w:ascii="黑体" w:hAnsi="黑体" w:eastAsia="黑体" w:cs="黑体"/>
          <w:b w:val="0"/>
          <w:bCs/>
          <w:spacing w:val="17"/>
          <w:position w:val="1"/>
          <w:sz w:val="28"/>
          <w:szCs w:val="28"/>
          <w:lang w:eastAsia="zh-CN"/>
        </w:rPr>
        <w:t xml:space="preserve">  </w:t>
      </w:r>
      <w:r>
        <w:rPr>
          <w:rFonts w:hint="eastAsia" w:ascii="黑体" w:hAnsi="黑体" w:eastAsia="黑体" w:cs="黑体"/>
          <w:b w:val="0"/>
          <w:bCs/>
          <w:spacing w:val="-1"/>
          <w:position w:val="1"/>
          <w:sz w:val="28"/>
          <w:szCs w:val="28"/>
          <w:lang w:eastAsia="zh-CN"/>
        </w:rPr>
        <w:t>总</w:t>
      </w:r>
      <w:r>
        <w:rPr>
          <w:rFonts w:hint="eastAsia" w:ascii="黑体" w:hAnsi="黑体" w:eastAsia="黑体" w:cs="黑体"/>
          <w:b w:val="0"/>
          <w:bCs/>
          <w:spacing w:val="12"/>
          <w:position w:val="1"/>
          <w:sz w:val="28"/>
          <w:szCs w:val="28"/>
          <w:lang w:eastAsia="zh-CN"/>
        </w:rPr>
        <w:t xml:space="preserve">  </w:t>
      </w:r>
      <w:r>
        <w:rPr>
          <w:rFonts w:hint="eastAsia" w:ascii="黑体" w:hAnsi="黑体" w:eastAsia="黑体" w:cs="黑体"/>
          <w:b w:val="0"/>
          <w:bCs/>
          <w:spacing w:val="-1"/>
          <w:position w:val="1"/>
          <w:sz w:val="28"/>
          <w:szCs w:val="28"/>
          <w:lang w:eastAsia="zh-CN"/>
        </w:rPr>
        <w:t>则</w:t>
      </w:r>
    </w:p>
    <w:bookmarkEnd w:id="0"/>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hint="eastAsia" w:ascii="仿宋_GB2312" w:hAnsi="仿宋_GB2312" w:eastAsia="仿宋_GB2312" w:cs="仿宋_GB2312"/>
          <w:sz w:val="32"/>
          <w:szCs w:val="32"/>
          <w:lang w:eastAsia="zh-CN"/>
        </w:rPr>
      </w:pPr>
      <w:r>
        <w:rPr>
          <w:rFonts w:hint="eastAsia" w:ascii="仿宋_GB2312" w:hAnsi="仿宋_GB2312" w:eastAsia="仿宋_GB2312" w:cs="仿宋_GB2312"/>
          <w:spacing w:val="9"/>
          <w:sz w:val="32"/>
          <w:szCs w:val="32"/>
          <w:lang w:eastAsia="zh-CN"/>
        </w:rPr>
        <w:t xml:space="preserve"> 为做好东洲区其他食品（新食品原料 L-</w:t>
      </w:r>
      <w:r>
        <w:rPr>
          <w:rFonts w:hint="eastAsia" w:ascii="仿宋_GB2312" w:hAnsi="仿宋_GB2312" w:eastAsia="仿宋_GB2312" w:cs="仿宋_GB2312"/>
          <w:spacing w:val="9"/>
          <w:sz w:val="32"/>
          <w:szCs w:val="32"/>
        </w:rPr>
        <w:t>α</w:t>
      </w:r>
      <w:r>
        <w:rPr>
          <w:rFonts w:hint="eastAsia" w:ascii="仿宋_GB2312" w:hAnsi="仿宋_GB2312" w:eastAsia="仿宋_GB2312" w:cs="仿宋_GB2312"/>
          <w:spacing w:val="9"/>
          <w:sz w:val="32"/>
          <w:szCs w:val="32"/>
          <w:lang w:eastAsia="zh-CN"/>
        </w:rPr>
        <w:t>-甘磷酸胆碱）生产许可审查工作，依据《</w:t>
      </w:r>
      <w:r>
        <w:rPr>
          <w:rFonts w:hint="eastAsia" w:ascii="仿宋_GB2312" w:hAnsi="仿宋_GB2312" w:eastAsia="仿宋_GB2312" w:cs="仿宋_GB2312"/>
          <w:spacing w:val="8"/>
          <w:sz w:val="32"/>
          <w:szCs w:val="32"/>
          <w:lang w:eastAsia="zh-CN"/>
        </w:rPr>
        <w:t>中华</w:t>
      </w:r>
      <w:r>
        <w:rPr>
          <w:rFonts w:hint="eastAsia" w:ascii="仿宋_GB2312" w:hAnsi="仿宋_GB2312" w:eastAsia="仿宋_GB2312" w:cs="仿宋_GB2312"/>
          <w:spacing w:val="5"/>
          <w:sz w:val="32"/>
          <w:szCs w:val="32"/>
          <w:lang w:eastAsia="zh-CN"/>
        </w:rPr>
        <w:t>人民共和国食品安全法》、</w:t>
      </w:r>
      <w:r>
        <w:rPr>
          <w:rFonts w:hint="eastAsia" w:ascii="仿宋_GB2312" w:hAnsi="仿宋_GB2312" w:eastAsia="仿宋_GB2312" w:cs="仿宋_GB2312"/>
          <w:spacing w:val="9"/>
          <w:sz w:val="32"/>
          <w:szCs w:val="32"/>
          <w:lang w:eastAsia="zh-CN"/>
        </w:rPr>
        <w:t>《</w:t>
      </w:r>
      <w:r>
        <w:rPr>
          <w:rFonts w:hint="eastAsia" w:ascii="仿宋_GB2312" w:hAnsi="仿宋_GB2312" w:eastAsia="仿宋_GB2312" w:cs="仿宋_GB2312"/>
          <w:spacing w:val="8"/>
          <w:sz w:val="32"/>
          <w:szCs w:val="32"/>
          <w:lang w:eastAsia="zh-CN"/>
        </w:rPr>
        <w:t>中华</w:t>
      </w:r>
      <w:r>
        <w:rPr>
          <w:rFonts w:hint="eastAsia" w:ascii="仿宋_GB2312" w:hAnsi="仿宋_GB2312" w:eastAsia="仿宋_GB2312" w:cs="仿宋_GB2312"/>
          <w:spacing w:val="5"/>
          <w:sz w:val="32"/>
          <w:szCs w:val="32"/>
          <w:lang w:eastAsia="zh-CN"/>
        </w:rPr>
        <w:t xml:space="preserve">人民共和国食品安全法实施条例》、《食品生产许可管理办法》、《食品生产许可审查通则》等有关法律法规规定和相关要求，东洲区市场监督管理局组织制定了《东洲区其他食品（新食品原料 </w:t>
      </w:r>
      <w:r>
        <w:rPr>
          <w:rFonts w:hint="eastAsia" w:ascii="仿宋_GB2312" w:hAnsi="仿宋_GB2312" w:eastAsia="仿宋_GB2312" w:cs="仿宋_GB2312"/>
          <w:bCs/>
          <w:spacing w:val="4"/>
          <w:sz w:val="32"/>
          <w:szCs w:val="32"/>
          <w:lang w:eastAsia="zh-CN"/>
        </w:rPr>
        <w:t>L-α-甘磷酸胆碱</w:t>
      </w:r>
      <w:r>
        <w:rPr>
          <w:rFonts w:hint="eastAsia" w:ascii="仿宋_GB2312" w:hAnsi="仿宋_GB2312" w:eastAsia="仿宋_GB2312" w:cs="仿宋_GB2312"/>
          <w:spacing w:val="5"/>
          <w:sz w:val="32"/>
          <w:szCs w:val="32"/>
          <w:lang w:eastAsia="zh-CN"/>
        </w:rPr>
        <w:t>）审查方案》（以下简称方案）</w:t>
      </w:r>
      <w:r>
        <w:rPr>
          <w:rFonts w:hint="eastAsia" w:ascii="仿宋_GB2312" w:hAnsi="仿宋_GB2312" w:eastAsia="仿宋_GB2312" w:cs="仿宋_GB2312"/>
          <w:spacing w:val="8"/>
          <w:sz w:val="32"/>
          <w:szCs w:val="32"/>
          <w:lang w:eastAsia="zh-CN"/>
        </w:rPr>
        <w:t>。</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hint="eastAsia" w:ascii="仿宋_GB2312" w:hAnsi="仿宋_GB2312" w:eastAsia="仿宋_GB2312" w:cs="仿宋_GB2312"/>
          <w:spacing w:val="9"/>
          <w:sz w:val="32"/>
          <w:szCs w:val="32"/>
          <w:lang w:eastAsia="zh-CN"/>
        </w:rPr>
      </w:pPr>
      <w:r>
        <w:rPr>
          <w:rFonts w:hint="eastAsia" w:ascii="仿宋_GB2312" w:hAnsi="仿宋_GB2312" w:eastAsia="仿宋_GB2312" w:cs="仿宋_GB2312"/>
          <w:spacing w:val="9"/>
          <w:sz w:val="32"/>
          <w:szCs w:val="32"/>
          <w:lang w:eastAsia="zh-CN"/>
        </w:rPr>
        <w:t xml:space="preserve"> 本方案所称新食品原料 L-α-甘磷酸胆碱是指以多聚磷酸、氯化胆碱、R-3-氯-1,2-丙二醇、氢氧化钠和水为原料，经缩合和酯化反应后，再经脱色、除杂、浓缩、精制、干燥等工艺制成的新食品原料L-α-甘磷酸胆碱。</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hint="eastAsia" w:ascii="仿宋_GB2312" w:hAnsi="仿宋_GB2312" w:eastAsia="仿宋_GB2312" w:cs="仿宋_GB2312"/>
          <w:spacing w:val="9"/>
          <w:sz w:val="32"/>
          <w:szCs w:val="32"/>
          <w:lang w:eastAsia="zh-CN"/>
        </w:rPr>
      </w:pPr>
      <w:r>
        <w:rPr>
          <w:rFonts w:hint="eastAsia" w:ascii="仿宋_GB2312" w:hAnsi="仿宋_GB2312" w:eastAsia="仿宋_GB2312" w:cs="仿宋_GB2312"/>
          <w:spacing w:val="9"/>
          <w:sz w:val="32"/>
          <w:szCs w:val="32"/>
          <w:lang w:eastAsia="zh-CN"/>
        </w:rPr>
        <w:t xml:space="preserve"> 新食品原料 L-α-甘磷酸胆碱的申证食品类别为其他食品，类别编号为3101，品种明细须注明其他食品（新食品原料 L-α-甘磷酸胆碱）。</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hint="eastAsia" w:ascii="仿宋_GB2312" w:hAnsi="仿宋_GB2312" w:eastAsia="仿宋_GB2312" w:cs="仿宋_GB2312"/>
          <w:spacing w:val="9"/>
          <w:sz w:val="32"/>
          <w:szCs w:val="32"/>
          <w:lang w:eastAsia="zh-CN"/>
        </w:rPr>
      </w:pPr>
      <w:bookmarkStart w:id="1" w:name="OLE_LINK1"/>
      <w:bookmarkStart w:id="2" w:name="OLE_LINK10"/>
      <w:r>
        <w:rPr>
          <w:rFonts w:hint="eastAsia" w:ascii="仿宋_GB2312" w:hAnsi="仿宋_GB2312" w:eastAsia="仿宋_GB2312" w:cs="仿宋_GB2312"/>
          <w:spacing w:val="9"/>
          <w:sz w:val="32"/>
          <w:szCs w:val="32"/>
          <w:lang w:eastAsia="zh-CN"/>
        </w:rPr>
        <w:t xml:space="preserve"> 本方案仅适用于东洲区内的金久奇（抚顺）药业有限公司的新食品原料 L-α-甘磷酸胆碱生产许可审查工作，本方案应与《食品生产许可审查通则》、《食品安全国家标准 食品生产通用卫生规范》（GB</w:t>
      </w:r>
      <w:r>
        <w:rPr>
          <w:rFonts w:hint="eastAsia" w:ascii="仿宋_GB2312" w:hAnsi="仿宋_GB2312" w:eastAsia="仿宋_GB2312" w:cs="仿宋_GB2312"/>
          <w:spacing w:val="9"/>
          <w:sz w:val="32"/>
          <w:szCs w:val="32"/>
          <w:lang w:val="en-US" w:eastAsia="zh-CN"/>
        </w:rPr>
        <w:t xml:space="preserve"> </w:t>
      </w:r>
      <w:r>
        <w:rPr>
          <w:rFonts w:hint="eastAsia" w:ascii="仿宋_GB2312" w:hAnsi="仿宋_GB2312" w:eastAsia="仿宋_GB2312" w:cs="仿宋_GB2312"/>
          <w:spacing w:val="9"/>
          <w:sz w:val="32"/>
          <w:szCs w:val="32"/>
          <w:lang w:eastAsia="zh-CN"/>
        </w:rPr>
        <w:t>14881）结合使用。</w:t>
      </w:r>
      <w:bookmarkEnd w:id="1"/>
    </w:p>
    <w:bookmarkEnd w:id="2"/>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hint="eastAsia" w:ascii="仿宋_GB2312" w:hAnsi="仿宋_GB2312" w:eastAsia="仿宋_GB2312" w:cs="仿宋_GB2312"/>
          <w:spacing w:val="9"/>
          <w:sz w:val="32"/>
          <w:szCs w:val="32"/>
          <w:lang w:eastAsia="zh-CN"/>
        </w:rPr>
      </w:pPr>
      <w:r>
        <w:rPr>
          <w:rFonts w:hint="eastAsia" w:ascii="仿宋_GB2312" w:hAnsi="仿宋_GB2312" w:eastAsia="仿宋_GB2312" w:cs="仿宋_GB2312"/>
          <w:spacing w:val="9"/>
          <w:sz w:val="32"/>
          <w:szCs w:val="32"/>
          <w:lang w:eastAsia="zh-CN"/>
        </w:rPr>
        <w:t xml:space="preserve"> 不得以分装方式生产新食品原料 L-α-甘磷酸胆碱。</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hint="eastAsia" w:ascii="仿宋_GB2312" w:hAnsi="仿宋_GB2312" w:eastAsia="仿宋_GB2312" w:cs="仿宋_GB2312"/>
          <w:sz w:val="32"/>
          <w:szCs w:val="32"/>
          <w:lang w:eastAsia="zh-CN"/>
        </w:rPr>
      </w:pPr>
      <w:r>
        <w:rPr>
          <w:rFonts w:hint="eastAsia" w:ascii="仿宋_GB2312" w:hAnsi="仿宋_GB2312" w:eastAsia="仿宋_GB2312" w:cs="仿宋_GB2312"/>
          <w:spacing w:val="9"/>
          <w:sz w:val="32"/>
          <w:szCs w:val="32"/>
          <w:lang w:eastAsia="zh-CN"/>
        </w:rPr>
        <w:t xml:space="preserve"> 本方案中引用的文件、标准通过引用成为本方案的内容。凡是引用文件、标准，其最新版本（包括所有的修改单）适用于本方案。</w:t>
      </w:r>
    </w:p>
    <w:p>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黑体" w:hAnsi="黑体" w:eastAsia="黑体" w:cs="黑体"/>
          <w:b w:val="0"/>
          <w:bCs/>
          <w:sz w:val="32"/>
          <w:szCs w:val="32"/>
          <w:lang w:eastAsia="zh-CN"/>
        </w:rPr>
      </w:pPr>
      <w:r>
        <w:rPr>
          <w:rFonts w:hint="eastAsia" w:ascii="黑体" w:hAnsi="黑体" w:eastAsia="黑体" w:cs="黑体"/>
          <w:b w:val="0"/>
          <w:bCs/>
          <w:spacing w:val="4"/>
          <w:position w:val="1"/>
          <w:sz w:val="32"/>
          <w:szCs w:val="32"/>
          <w:lang w:eastAsia="zh-CN"/>
        </w:rPr>
        <w:t>第二章</w:t>
      </w:r>
      <w:r>
        <w:rPr>
          <w:rFonts w:hint="eastAsia" w:ascii="黑体" w:hAnsi="黑体" w:eastAsia="黑体" w:cs="黑体"/>
          <w:b w:val="0"/>
          <w:bCs/>
          <w:spacing w:val="17"/>
          <w:position w:val="1"/>
          <w:sz w:val="32"/>
          <w:szCs w:val="32"/>
          <w:lang w:eastAsia="zh-CN"/>
        </w:rPr>
        <w:t xml:space="preserve">  </w:t>
      </w:r>
      <w:r>
        <w:rPr>
          <w:rFonts w:hint="eastAsia" w:ascii="黑体" w:hAnsi="黑体" w:eastAsia="黑体" w:cs="黑体"/>
          <w:b w:val="0"/>
          <w:bCs/>
          <w:spacing w:val="4"/>
          <w:position w:val="1"/>
          <w:sz w:val="32"/>
          <w:szCs w:val="32"/>
          <w:lang w:eastAsia="zh-CN"/>
        </w:rPr>
        <w:t>生产场所核查</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hint="eastAsia" w:ascii="仿宋_GB2312" w:hAnsi="仿宋_GB2312" w:eastAsia="仿宋_GB2312" w:cs="仿宋_GB2312"/>
          <w:spacing w:val="9"/>
          <w:sz w:val="32"/>
          <w:szCs w:val="32"/>
          <w:lang w:eastAsia="zh-CN"/>
        </w:rPr>
      </w:pPr>
      <w:r>
        <w:rPr>
          <w:rFonts w:hint="eastAsia" w:ascii="仿宋_GB2312" w:hAnsi="仿宋_GB2312" w:eastAsia="仿宋_GB2312" w:cs="仿宋_GB2312"/>
          <w:spacing w:val="9"/>
          <w:sz w:val="32"/>
          <w:szCs w:val="32"/>
          <w:lang w:eastAsia="zh-CN"/>
        </w:rPr>
        <w:t xml:space="preserve"> 厂区要求、厂房和车间、库房要求应符合《食品生产许可审查通则》中生产场所相关规定。</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hint="eastAsia" w:ascii="仿宋_GB2312" w:hAnsi="仿宋_GB2312" w:eastAsia="仿宋_GB2312" w:cs="仿宋_GB2312"/>
          <w:spacing w:val="9"/>
          <w:sz w:val="32"/>
          <w:szCs w:val="32"/>
          <w:lang w:eastAsia="zh-CN"/>
        </w:rPr>
      </w:pPr>
      <w:r>
        <w:rPr>
          <w:rFonts w:hint="eastAsia" w:ascii="仿宋_GB2312" w:hAnsi="仿宋_GB2312" w:eastAsia="仿宋_GB2312" w:cs="仿宋_GB2312"/>
          <w:spacing w:val="9"/>
          <w:sz w:val="32"/>
          <w:szCs w:val="32"/>
          <w:lang w:eastAsia="zh-CN"/>
        </w:rPr>
        <w:t xml:space="preserve"> 生产车间应具有足够空间和高度，满足设备设施安装与维修、生产作业、卫生清洁、物料转运、采光与通风及卫生检查的需要。</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hint="eastAsia" w:ascii="仿宋_GB2312" w:hAnsi="仿宋_GB2312" w:eastAsia="仿宋_GB2312" w:cs="仿宋_GB2312"/>
          <w:spacing w:val="9"/>
          <w:sz w:val="32"/>
          <w:szCs w:val="32"/>
          <w:lang w:eastAsia="zh-CN"/>
        </w:rPr>
      </w:pPr>
      <w:r>
        <w:rPr>
          <w:rFonts w:hint="eastAsia" w:ascii="仿宋_GB2312" w:hAnsi="仿宋_GB2312" w:eastAsia="仿宋_GB2312" w:cs="仿宋_GB2312"/>
          <w:spacing w:val="9"/>
          <w:sz w:val="32"/>
          <w:szCs w:val="32"/>
          <w:lang w:eastAsia="zh-CN"/>
        </w:rPr>
        <w:t xml:space="preserve"> 生产车间应与厂区污水、污物处理设施分开并间隔适当距离。</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hint="eastAsia" w:ascii="仿宋_GB2312" w:hAnsi="仿宋_GB2312" w:eastAsia="仿宋_GB2312" w:cs="仿宋_GB2312"/>
          <w:spacing w:val="9"/>
          <w:sz w:val="32"/>
          <w:szCs w:val="32"/>
          <w:lang w:eastAsia="zh-CN"/>
        </w:rPr>
      </w:pPr>
      <w:r>
        <w:rPr>
          <w:rFonts w:hint="eastAsia" w:ascii="仿宋_GB2312" w:hAnsi="仿宋_GB2312" w:eastAsia="仿宋_GB2312" w:cs="仿宋_GB2312"/>
          <w:spacing w:val="9"/>
          <w:sz w:val="32"/>
          <w:szCs w:val="32"/>
          <w:lang w:eastAsia="zh-CN"/>
        </w:rPr>
        <w:t xml:space="preserve"> 生产车间内应设置专门区域存放加工废弃物。</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hint="eastAsia" w:ascii="仿宋_GB2312" w:hAnsi="仿宋_GB2312" w:eastAsia="仿宋_GB2312" w:cs="仿宋_GB2312"/>
          <w:spacing w:val="9"/>
          <w:sz w:val="32"/>
          <w:szCs w:val="32"/>
          <w:lang w:eastAsia="zh-CN"/>
        </w:rPr>
      </w:pPr>
      <w:r>
        <w:rPr>
          <w:rFonts w:hint="eastAsia" w:ascii="仿宋_GB2312" w:hAnsi="仿宋_GB2312" w:eastAsia="仿宋_GB2312" w:cs="仿宋_GB2312"/>
          <w:spacing w:val="9"/>
          <w:sz w:val="32"/>
          <w:szCs w:val="32"/>
          <w:lang w:eastAsia="zh-CN"/>
        </w:rPr>
        <w:t xml:space="preserve"> 生产车间应与易产生粉尘的场所间隔一定距离，并设在主导风向的上风向位置，难以避开时应采取必要的防范措施。</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bookmarkStart w:id="3" w:name="OLE_LINK19"/>
      <w:r>
        <w:rPr>
          <w:rFonts w:hint="eastAsia" w:ascii="仿宋_GB2312" w:hAnsi="仿宋_GB2312" w:eastAsia="仿宋_GB2312" w:cs="仿宋_GB2312"/>
          <w:spacing w:val="9"/>
          <w:sz w:val="32"/>
          <w:szCs w:val="32"/>
          <w:lang w:eastAsia="zh-CN"/>
        </w:rPr>
        <w:t xml:space="preserve"> 生产场所应根据生产流程、操作需要和清洁度的要求采取有效分离或分隔，避免交叉污染。生产场所可划分为一般作业区、准清洁作业区、</w:t>
      </w:r>
      <w:bookmarkStart w:id="4" w:name="OLE_LINK2"/>
      <w:r>
        <w:rPr>
          <w:rFonts w:hint="eastAsia" w:ascii="仿宋_GB2312" w:hAnsi="仿宋_GB2312" w:eastAsia="仿宋_GB2312" w:cs="仿宋_GB2312"/>
          <w:spacing w:val="9"/>
          <w:sz w:val="32"/>
          <w:szCs w:val="32"/>
          <w:lang w:eastAsia="zh-CN"/>
        </w:rPr>
        <w:t>清洁作业区</w:t>
      </w:r>
      <w:bookmarkEnd w:id="4"/>
      <w:r>
        <w:rPr>
          <w:rFonts w:hint="eastAsia" w:ascii="仿宋_GB2312" w:hAnsi="仿宋_GB2312" w:eastAsia="仿宋_GB2312" w:cs="仿宋_GB2312"/>
          <w:spacing w:val="9"/>
          <w:sz w:val="32"/>
          <w:szCs w:val="32"/>
          <w:lang w:eastAsia="zh-CN"/>
        </w:rPr>
        <w:t>，不同作业区之间应当有效分隔，新食品原料 L</w:t>
      </w:r>
      <w:r>
        <w:rPr>
          <w:rFonts w:ascii="宋体" w:hAnsi="宋体" w:cs="Times New Roman"/>
          <w:spacing w:val="9"/>
          <w:sz w:val="28"/>
          <w:szCs w:val="28"/>
          <w:lang w:eastAsia="zh-CN"/>
        </w:rPr>
        <w:t>-</w:t>
      </w:r>
      <w:r>
        <w:rPr>
          <w:rFonts w:hint="eastAsia" w:ascii="宋体" w:hAnsi="宋体" w:cs="Times New Roman"/>
          <w:spacing w:val="9"/>
          <w:sz w:val="28"/>
          <w:szCs w:val="28"/>
          <w:lang w:eastAsia="zh-CN"/>
        </w:rPr>
        <w:t>α</w:t>
      </w:r>
      <w:r>
        <w:rPr>
          <w:rFonts w:ascii="宋体" w:cs="Times New Roman"/>
          <w:spacing w:val="9"/>
          <w:sz w:val="28"/>
          <w:szCs w:val="28"/>
          <w:lang w:eastAsia="zh-CN"/>
        </w:rPr>
        <w:t>-</w:t>
      </w:r>
      <w:r>
        <w:rPr>
          <w:rFonts w:hint="eastAsia" w:ascii="宋体" w:hAnsi="宋体" w:cs="Times New Roman"/>
          <w:spacing w:val="9"/>
          <w:sz w:val="28"/>
          <w:szCs w:val="28"/>
          <w:lang w:eastAsia="zh-CN"/>
        </w:rPr>
        <w:t>甘磷酸胆碱生产场所作业区划分见表</w:t>
      </w:r>
      <w:r>
        <w:rPr>
          <w:rFonts w:ascii="宋体" w:hAnsi="宋体" w:cs="Times New Roman"/>
          <w:spacing w:val="9"/>
          <w:sz w:val="28"/>
          <w:szCs w:val="28"/>
          <w:lang w:eastAsia="zh-CN"/>
        </w:rPr>
        <w:t xml:space="preserve"> 1</w:t>
      </w:r>
      <w:r>
        <w:rPr>
          <w:rFonts w:hint="eastAsia" w:ascii="宋体" w:hAnsi="宋体" w:cs="Times New Roman"/>
          <w:spacing w:val="9"/>
          <w:sz w:val="28"/>
          <w:szCs w:val="28"/>
          <w:lang w:eastAsia="zh-CN"/>
        </w:rPr>
        <w:t>。</w:t>
      </w:r>
    </w:p>
    <w:bookmarkEnd w:id="3"/>
    <w:p>
      <w:pPr>
        <w:tabs>
          <w:tab w:val="left" w:pos="0"/>
        </w:tabs>
        <w:spacing w:before="158" w:line="360" w:lineRule="auto"/>
        <w:ind w:left="630" w:right="85"/>
        <w:jc w:val="both"/>
        <w:rPr>
          <w:rFonts w:ascii="宋体" w:cs="Times New Roman"/>
          <w:spacing w:val="9"/>
          <w:sz w:val="28"/>
          <w:szCs w:val="28"/>
          <w:lang w:eastAsia="zh-CN"/>
        </w:rPr>
      </w:pPr>
    </w:p>
    <w:p>
      <w:pPr>
        <w:tabs>
          <w:tab w:val="left" w:pos="0"/>
        </w:tabs>
        <w:spacing w:before="158" w:line="360" w:lineRule="auto"/>
        <w:ind w:left="630" w:right="85"/>
        <w:jc w:val="both"/>
        <w:rPr>
          <w:rFonts w:ascii="宋体" w:cs="Times New Roman"/>
          <w:spacing w:val="9"/>
          <w:sz w:val="28"/>
          <w:szCs w:val="28"/>
          <w:lang w:eastAsia="zh-CN"/>
        </w:rPr>
      </w:pPr>
    </w:p>
    <w:p>
      <w:pPr>
        <w:tabs>
          <w:tab w:val="left" w:pos="0"/>
        </w:tabs>
        <w:spacing w:before="158" w:line="360" w:lineRule="auto"/>
        <w:ind w:left="630" w:right="85"/>
        <w:jc w:val="both"/>
        <w:rPr>
          <w:rFonts w:ascii="宋体" w:cs="Times New Roman"/>
          <w:spacing w:val="9"/>
          <w:sz w:val="28"/>
          <w:szCs w:val="28"/>
          <w:lang w:eastAsia="zh-CN"/>
        </w:rPr>
      </w:pPr>
    </w:p>
    <w:p>
      <w:pPr>
        <w:tabs>
          <w:tab w:val="left" w:pos="0"/>
        </w:tabs>
        <w:spacing w:before="158" w:line="360" w:lineRule="auto"/>
        <w:ind w:right="85"/>
        <w:jc w:val="both"/>
        <w:rPr>
          <w:rFonts w:ascii="宋体" w:cs="Times New Roman"/>
          <w:spacing w:val="9"/>
          <w:sz w:val="28"/>
          <w:szCs w:val="28"/>
          <w:lang w:eastAsia="zh-CN"/>
        </w:rPr>
      </w:pPr>
    </w:p>
    <w:p>
      <w:pPr>
        <w:spacing w:before="54" w:line="360" w:lineRule="auto"/>
        <w:ind w:left="157" w:right="108" w:firstLine="620"/>
        <w:jc w:val="center"/>
        <w:rPr>
          <w:rFonts w:ascii="宋体" w:cs="Times New Roman"/>
          <w:b/>
          <w:bCs/>
          <w:spacing w:val="5"/>
          <w:sz w:val="28"/>
          <w:szCs w:val="28"/>
          <w:lang w:eastAsia="zh-CN"/>
        </w:rPr>
      </w:pPr>
      <w:bookmarkStart w:id="5" w:name="OLE_LINK11"/>
      <w:r>
        <w:rPr>
          <w:rFonts w:hint="eastAsia" w:ascii="宋体" w:hAnsi="宋体" w:cs="Times New Roman"/>
          <w:b/>
          <w:bCs/>
          <w:spacing w:val="5"/>
          <w:sz w:val="28"/>
          <w:szCs w:val="28"/>
          <w:lang w:eastAsia="zh-CN"/>
        </w:rPr>
        <w:t>表</w:t>
      </w:r>
      <w:r>
        <w:rPr>
          <w:rFonts w:ascii="宋体" w:hAnsi="宋体" w:cs="Times New Roman"/>
          <w:b/>
          <w:bCs/>
          <w:spacing w:val="5"/>
          <w:sz w:val="28"/>
          <w:szCs w:val="28"/>
          <w:lang w:eastAsia="zh-CN"/>
        </w:rPr>
        <w:t xml:space="preserve"> 1   </w:t>
      </w:r>
      <w:r>
        <w:rPr>
          <w:rFonts w:hint="eastAsia" w:ascii="宋体" w:hAnsi="宋体" w:cs="Times New Roman"/>
          <w:b/>
          <w:bCs/>
          <w:spacing w:val="5"/>
          <w:sz w:val="28"/>
          <w:szCs w:val="28"/>
          <w:lang w:eastAsia="zh-CN"/>
        </w:rPr>
        <w:t>生产场所作业区划分</w:t>
      </w:r>
    </w:p>
    <w:bookmarkEnd w:id="5"/>
    <w:tbl>
      <w:tblPr>
        <w:tblStyle w:val="5"/>
        <w:tblW w:w="92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51"/>
        <w:gridCol w:w="1624"/>
        <w:gridCol w:w="2327"/>
        <w:gridCol w:w="405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251" w:type="dxa"/>
          </w:tcPr>
          <w:p>
            <w:pPr>
              <w:pStyle w:val="12"/>
              <w:spacing w:before="85" w:line="360" w:lineRule="auto"/>
              <w:ind w:right="23"/>
              <w:jc w:val="center"/>
              <w:rPr>
                <w:rFonts w:hint="eastAsia" w:ascii="仿宋_GB2312" w:hAnsi="仿宋_GB2312" w:eastAsia="仿宋_GB2312" w:cs="仿宋_GB2312"/>
                <w:spacing w:val="6"/>
                <w:sz w:val="24"/>
                <w:szCs w:val="24"/>
              </w:rPr>
            </w:pPr>
            <w:r>
              <w:rPr>
                <w:rFonts w:hint="eastAsia" w:ascii="仿宋_GB2312" w:hAnsi="仿宋_GB2312" w:eastAsia="仿宋_GB2312" w:cs="仿宋_GB2312"/>
                <w:spacing w:val="6"/>
                <w:sz w:val="24"/>
                <w:szCs w:val="24"/>
              </w:rPr>
              <w:t>产品</w:t>
            </w:r>
          </w:p>
        </w:tc>
        <w:tc>
          <w:tcPr>
            <w:tcW w:w="1624" w:type="dxa"/>
          </w:tcPr>
          <w:p>
            <w:pPr>
              <w:pStyle w:val="12"/>
              <w:spacing w:before="85" w:line="360" w:lineRule="auto"/>
              <w:ind w:right="23"/>
              <w:jc w:val="center"/>
              <w:rPr>
                <w:rFonts w:hint="eastAsia" w:ascii="仿宋_GB2312" w:hAnsi="仿宋_GB2312" w:eastAsia="仿宋_GB2312" w:cs="仿宋_GB2312"/>
                <w:spacing w:val="6"/>
                <w:sz w:val="24"/>
                <w:szCs w:val="24"/>
              </w:rPr>
            </w:pPr>
            <w:r>
              <w:rPr>
                <w:rFonts w:hint="eastAsia" w:ascii="仿宋_GB2312" w:hAnsi="仿宋_GB2312" w:eastAsia="仿宋_GB2312" w:cs="仿宋_GB2312"/>
                <w:spacing w:val="6"/>
                <w:sz w:val="24"/>
                <w:szCs w:val="24"/>
              </w:rPr>
              <w:t>一般作业区</w:t>
            </w:r>
          </w:p>
        </w:tc>
        <w:tc>
          <w:tcPr>
            <w:tcW w:w="2327" w:type="dxa"/>
          </w:tcPr>
          <w:p>
            <w:pPr>
              <w:pStyle w:val="12"/>
              <w:spacing w:before="85" w:line="360" w:lineRule="auto"/>
              <w:ind w:right="23"/>
              <w:jc w:val="center"/>
              <w:rPr>
                <w:rFonts w:hint="eastAsia" w:ascii="仿宋_GB2312" w:hAnsi="仿宋_GB2312" w:eastAsia="仿宋_GB2312" w:cs="仿宋_GB2312"/>
                <w:spacing w:val="6"/>
                <w:sz w:val="24"/>
                <w:szCs w:val="24"/>
              </w:rPr>
            </w:pPr>
            <w:r>
              <w:rPr>
                <w:rFonts w:hint="eastAsia" w:ascii="仿宋_GB2312" w:hAnsi="仿宋_GB2312" w:eastAsia="仿宋_GB2312" w:cs="仿宋_GB2312"/>
                <w:spacing w:val="6"/>
                <w:sz w:val="24"/>
                <w:szCs w:val="24"/>
                <w:lang w:eastAsia="zh-CN"/>
              </w:rPr>
              <w:t>准清洁</w:t>
            </w:r>
            <w:r>
              <w:rPr>
                <w:rFonts w:hint="eastAsia" w:ascii="仿宋_GB2312" w:hAnsi="仿宋_GB2312" w:eastAsia="仿宋_GB2312" w:cs="仿宋_GB2312"/>
                <w:spacing w:val="6"/>
                <w:sz w:val="24"/>
                <w:szCs w:val="24"/>
              </w:rPr>
              <w:t>作业区</w:t>
            </w:r>
          </w:p>
        </w:tc>
        <w:tc>
          <w:tcPr>
            <w:tcW w:w="4056" w:type="dxa"/>
          </w:tcPr>
          <w:p>
            <w:pPr>
              <w:pStyle w:val="12"/>
              <w:spacing w:before="85" w:line="360" w:lineRule="auto"/>
              <w:ind w:right="23"/>
              <w:jc w:val="center"/>
              <w:rPr>
                <w:rFonts w:hint="eastAsia" w:ascii="仿宋_GB2312" w:hAnsi="仿宋_GB2312" w:eastAsia="仿宋_GB2312" w:cs="仿宋_GB2312"/>
                <w:spacing w:val="6"/>
                <w:sz w:val="24"/>
                <w:szCs w:val="24"/>
              </w:rPr>
            </w:pPr>
            <w:r>
              <w:rPr>
                <w:rFonts w:hint="eastAsia" w:ascii="仿宋_GB2312" w:hAnsi="仿宋_GB2312" w:eastAsia="仿宋_GB2312" w:cs="仿宋_GB2312"/>
                <w:spacing w:val="6"/>
                <w:sz w:val="24"/>
                <w:szCs w:val="24"/>
                <w:lang w:eastAsia="zh-CN"/>
              </w:rPr>
              <w:t>清洁</w:t>
            </w:r>
            <w:r>
              <w:rPr>
                <w:rFonts w:hint="eastAsia" w:ascii="仿宋_GB2312" w:hAnsi="仿宋_GB2312" w:eastAsia="仿宋_GB2312" w:cs="仿宋_GB2312"/>
                <w:spacing w:val="6"/>
                <w:sz w:val="24"/>
                <w:szCs w:val="24"/>
              </w:rPr>
              <w:t>作业区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20" w:hRule="atLeast"/>
        </w:trPr>
        <w:tc>
          <w:tcPr>
            <w:tcW w:w="1251" w:type="dxa"/>
            <w:vAlign w:val="center"/>
          </w:tcPr>
          <w:p>
            <w:pPr>
              <w:pStyle w:val="12"/>
              <w:spacing w:before="85" w:line="360" w:lineRule="auto"/>
              <w:ind w:right="23"/>
              <w:jc w:val="center"/>
              <w:rPr>
                <w:rFonts w:hint="eastAsia" w:ascii="仿宋_GB2312" w:hAnsi="仿宋_GB2312" w:eastAsia="仿宋_GB2312" w:cs="仿宋_GB2312"/>
                <w:spacing w:val="6"/>
                <w:sz w:val="24"/>
                <w:szCs w:val="24"/>
                <w:lang w:eastAsia="zh-CN"/>
              </w:rPr>
            </w:pPr>
            <w:r>
              <w:rPr>
                <w:rFonts w:hint="eastAsia" w:ascii="仿宋_GB2312" w:hAnsi="仿宋_GB2312" w:eastAsia="仿宋_GB2312" w:cs="仿宋_GB2312"/>
                <w:spacing w:val="6"/>
                <w:sz w:val="24"/>
                <w:szCs w:val="24"/>
                <w:lang w:eastAsia="zh-CN"/>
              </w:rPr>
              <w:t>新食品原料 L-</w:t>
            </w:r>
            <w:r>
              <w:rPr>
                <w:rFonts w:hint="eastAsia" w:ascii="仿宋_GB2312" w:hAnsi="仿宋_GB2312" w:eastAsia="仿宋_GB2312" w:cs="仿宋_GB2312"/>
                <w:spacing w:val="6"/>
                <w:sz w:val="24"/>
                <w:szCs w:val="24"/>
              </w:rPr>
              <w:t>α</w:t>
            </w:r>
            <w:r>
              <w:rPr>
                <w:rFonts w:hint="eastAsia" w:ascii="仿宋_GB2312" w:hAnsi="仿宋_GB2312" w:eastAsia="仿宋_GB2312" w:cs="仿宋_GB2312"/>
                <w:spacing w:val="6"/>
                <w:sz w:val="24"/>
                <w:szCs w:val="24"/>
                <w:lang w:eastAsia="zh-CN"/>
              </w:rPr>
              <w:t>-甘磷酸胆碱</w:t>
            </w:r>
          </w:p>
        </w:tc>
        <w:tc>
          <w:tcPr>
            <w:tcW w:w="1624" w:type="dxa"/>
            <w:vAlign w:val="center"/>
          </w:tcPr>
          <w:p>
            <w:pPr>
              <w:pStyle w:val="12"/>
              <w:spacing w:before="85" w:line="360" w:lineRule="auto"/>
              <w:ind w:right="23"/>
              <w:rPr>
                <w:rFonts w:hint="eastAsia" w:ascii="仿宋_GB2312" w:hAnsi="仿宋_GB2312" w:eastAsia="仿宋_GB2312" w:cs="仿宋_GB2312"/>
                <w:color w:val="000000" w:themeColor="text1"/>
                <w:spacing w:val="6"/>
                <w:sz w:val="24"/>
                <w:szCs w:val="24"/>
                <w:lang w:eastAsia="zh-CN"/>
              </w:rPr>
            </w:pPr>
            <w:r>
              <w:rPr>
                <w:rFonts w:hint="eastAsia" w:ascii="仿宋_GB2312" w:hAnsi="仿宋_GB2312" w:eastAsia="仿宋_GB2312" w:cs="仿宋_GB2312"/>
                <w:color w:val="000000" w:themeColor="text1"/>
                <w:spacing w:val="6"/>
                <w:sz w:val="24"/>
                <w:szCs w:val="24"/>
                <w:lang w:eastAsia="zh-CN"/>
              </w:rPr>
              <w:t>验收区、原料区</w:t>
            </w:r>
            <w:bookmarkStart w:id="6" w:name="OLE_LINK55"/>
            <w:r>
              <w:rPr>
                <w:rFonts w:hint="eastAsia" w:ascii="仿宋_GB2312" w:hAnsi="仿宋_GB2312" w:eastAsia="仿宋_GB2312" w:cs="仿宋_GB2312"/>
                <w:color w:val="000000" w:themeColor="text1"/>
                <w:spacing w:val="6"/>
                <w:sz w:val="24"/>
                <w:szCs w:val="24"/>
                <w:lang w:eastAsia="zh-CN"/>
              </w:rPr>
              <w:t>、成品</w:t>
            </w:r>
            <w:bookmarkEnd w:id="6"/>
            <w:r>
              <w:rPr>
                <w:rFonts w:hint="eastAsia" w:ascii="仿宋_GB2312" w:hAnsi="仿宋_GB2312" w:eastAsia="仿宋_GB2312" w:cs="仿宋_GB2312"/>
                <w:color w:val="000000" w:themeColor="text1"/>
                <w:spacing w:val="6"/>
                <w:sz w:val="24"/>
                <w:szCs w:val="24"/>
                <w:lang w:eastAsia="zh-CN"/>
              </w:rPr>
              <w:t>库、包材区、不合格区、退换货区等</w:t>
            </w:r>
          </w:p>
        </w:tc>
        <w:tc>
          <w:tcPr>
            <w:tcW w:w="2327" w:type="dxa"/>
            <w:vAlign w:val="center"/>
          </w:tcPr>
          <w:p>
            <w:pPr>
              <w:pStyle w:val="12"/>
              <w:spacing w:before="85" w:line="360" w:lineRule="auto"/>
              <w:ind w:right="23"/>
              <w:rPr>
                <w:rFonts w:hint="eastAsia" w:ascii="仿宋_GB2312" w:hAnsi="仿宋_GB2312" w:eastAsia="仿宋_GB2312" w:cs="仿宋_GB2312"/>
                <w:color w:val="000000" w:themeColor="text1"/>
                <w:spacing w:val="6"/>
                <w:sz w:val="24"/>
                <w:szCs w:val="24"/>
                <w:lang w:eastAsia="zh-CN"/>
              </w:rPr>
            </w:pPr>
            <w:r>
              <w:rPr>
                <w:rFonts w:hint="eastAsia" w:ascii="仿宋_GB2312" w:hAnsi="仿宋_GB2312" w:eastAsia="仿宋_GB2312" w:cs="仿宋_GB2312"/>
                <w:color w:val="000000" w:themeColor="text1"/>
                <w:spacing w:val="6"/>
                <w:sz w:val="24"/>
                <w:szCs w:val="24"/>
                <w:lang w:eastAsia="zh-CN"/>
              </w:rPr>
              <w:t>外包材暂存室、外包装室、桶粗洗间、物流外清、洁具洗存间等</w:t>
            </w:r>
          </w:p>
        </w:tc>
        <w:tc>
          <w:tcPr>
            <w:tcW w:w="4056" w:type="dxa"/>
            <w:vAlign w:val="center"/>
          </w:tcPr>
          <w:p>
            <w:pPr>
              <w:pStyle w:val="12"/>
              <w:spacing w:before="85" w:line="360" w:lineRule="auto"/>
              <w:ind w:right="23"/>
              <w:rPr>
                <w:rFonts w:hint="eastAsia" w:ascii="仿宋_GB2312" w:hAnsi="仿宋_GB2312" w:eastAsia="仿宋_GB2312" w:cs="仿宋_GB2312"/>
                <w:color w:val="000000" w:themeColor="text1"/>
                <w:spacing w:val="6"/>
                <w:sz w:val="24"/>
                <w:szCs w:val="24"/>
                <w:lang w:eastAsia="zh-CN"/>
              </w:rPr>
            </w:pPr>
            <w:r>
              <w:rPr>
                <w:rFonts w:hint="eastAsia" w:ascii="仿宋_GB2312" w:hAnsi="仿宋_GB2312" w:eastAsia="仿宋_GB2312" w:cs="仿宋_GB2312"/>
                <w:color w:val="000000" w:themeColor="text1"/>
                <w:spacing w:val="6"/>
                <w:sz w:val="24"/>
                <w:szCs w:val="24"/>
                <w:lang w:eastAsia="zh-CN"/>
              </w:rPr>
              <w:t>洁具清洗暂存室、结晶分离室、干燥室1、中间体暂存室、内包材暂存室、原料暂存室、内包装室、物流缓冲、洁净走廊、工器具清洗室、桶暂存室、洁净服清洗室、手消毒、女更洁净衣、男更洁净衣等</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9258" w:type="dxa"/>
            <w:gridSpan w:val="4"/>
            <w:vAlign w:val="center"/>
          </w:tcPr>
          <w:p>
            <w:pPr>
              <w:pStyle w:val="12"/>
              <w:spacing w:before="85" w:line="360" w:lineRule="auto"/>
              <w:ind w:right="23"/>
              <w:rPr>
                <w:rFonts w:hint="eastAsia" w:ascii="仿宋_GB2312" w:hAnsi="仿宋_GB2312" w:eastAsia="仿宋_GB2312" w:cs="仿宋_GB2312"/>
                <w:spacing w:val="6"/>
                <w:sz w:val="24"/>
                <w:szCs w:val="24"/>
                <w:lang w:eastAsia="zh-CN"/>
              </w:rPr>
            </w:pPr>
            <w:r>
              <w:rPr>
                <w:rFonts w:hint="eastAsia" w:ascii="仿宋_GB2312" w:hAnsi="仿宋_GB2312" w:eastAsia="仿宋_GB2312" w:cs="仿宋_GB2312"/>
                <w:spacing w:val="6"/>
                <w:sz w:val="24"/>
                <w:szCs w:val="24"/>
                <w:lang w:eastAsia="zh-CN"/>
              </w:rPr>
              <w:t>注：本表所列生产区域为常规分区，企业可根据实际生产情况优化调整。</w:t>
            </w:r>
          </w:p>
        </w:tc>
      </w:tr>
    </w:tbl>
    <w:p>
      <w:pPr>
        <w:pStyle w:val="3"/>
        <w:spacing w:line="360" w:lineRule="auto"/>
        <w:rPr>
          <w:rFonts w:ascii="宋体" w:cs="Times New Roman"/>
          <w:sz w:val="28"/>
          <w:szCs w:val="28"/>
          <w:lang w:eastAsia="zh-CN"/>
        </w:rPr>
      </w:pPr>
    </w:p>
    <w:p>
      <w:pPr>
        <w:numPr>
          <w:ilvl w:val="0"/>
          <w:numId w:val="1"/>
        </w:numPr>
        <w:spacing w:before="158" w:line="360" w:lineRule="auto"/>
        <w:ind w:left="210" w:leftChars="0" w:right="85" w:firstLine="630" w:firstLineChars="0"/>
        <w:jc w:val="both"/>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新食品原料</w:t>
      </w:r>
      <w:r>
        <w:rPr>
          <w:rFonts w:ascii="宋体" w:hAnsi="宋体" w:cs="Times New Roman"/>
          <w:spacing w:val="9"/>
          <w:sz w:val="28"/>
          <w:szCs w:val="28"/>
          <w:lang w:eastAsia="zh-CN"/>
        </w:rPr>
        <w:t xml:space="preserve"> L-</w:t>
      </w:r>
      <w:r>
        <w:rPr>
          <w:rFonts w:hint="eastAsia" w:ascii="宋体" w:hAnsi="宋体" w:cs="Times New Roman"/>
          <w:spacing w:val="9"/>
          <w:sz w:val="28"/>
          <w:szCs w:val="28"/>
          <w:lang w:eastAsia="zh-CN"/>
        </w:rPr>
        <w:t>α</w:t>
      </w:r>
      <w:r>
        <w:rPr>
          <w:rFonts w:ascii="宋体" w:cs="Times New Roman"/>
          <w:spacing w:val="9"/>
          <w:sz w:val="28"/>
          <w:szCs w:val="28"/>
          <w:lang w:eastAsia="zh-CN"/>
        </w:rPr>
        <w:t>-</w:t>
      </w:r>
      <w:r>
        <w:rPr>
          <w:rFonts w:hint="eastAsia" w:ascii="宋体" w:hAnsi="宋体" w:cs="Times New Roman"/>
          <w:spacing w:val="9"/>
          <w:sz w:val="28"/>
          <w:szCs w:val="28"/>
          <w:lang w:eastAsia="zh-CN"/>
        </w:rPr>
        <w:t>甘磷酸胆碱清洁作业区环境温度应控制在</w:t>
      </w:r>
      <w:r>
        <w:rPr>
          <w:rFonts w:ascii="宋体" w:hAnsi="宋体" w:cs="Times New Roman"/>
          <w:spacing w:val="9"/>
          <w:sz w:val="28"/>
          <w:szCs w:val="28"/>
          <w:lang w:eastAsia="zh-CN"/>
        </w:rPr>
        <w:t>18-26</w:t>
      </w:r>
      <w:r>
        <w:rPr>
          <w:rFonts w:hint="eastAsia" w:ascii="宋体" w:hAnsi="宋体" w:cs="Times New Roman"/>
          <w:spacing w:val="9"/>
          <w:sz w:val="28"/>
          <w:szCs w:val="28"/>
          <w:lang w:eastAsia="zh-CN"/>
        </w:rPr>
        <w:t>℃，湿度应控制在</w:t>
      </w:r>
      <w:r>
        <w:rPr>
          <w:rFonts w:ascii="宋体" w:hAnsi="宋体" w:cs="Times New Roman"/>
          <w:spacing w:val="9"/>
          <w:sz w:val="28"/>
          <w:szCs w:val="28"/>
          <w:lang w:eastAsia="zh-CN"/>
        </w:rPr>
        <w:t>45-65%</w:t>
      </w:r>
      <w:r>
        <w:rPr>
          <w:rFonts w:hint="eastAsia" w:ascii="宋体" w:hAnsi="宋体" w:cs="Times New Roman"/>
          <w:spacing w:val="9"/>
          <w:sz w:val="28"/>
          <w:szCs w:val="28"/>
          <w:lang w:eastAsia="zh-CN"/>
        </w:rPr>
        <w:t>。生产过程中的干燥室、内包装室等房间应严格控制环境温湿度，详见表</w:t>
      </w:r>
      <w:r>
        <w:rPr>
          <w:rFonts w:ascii="宋体" w:hAnsi="宋体" w:cs="Times New Roman"/>
          <w:spacing w:val="9"/>
          <w:sz w:val="28"/>
          <w:szCs w:val="28"/>
          <w:lang w:eastAsia="zh-CN"/>
        </w:rPr>
        <w:t xml:space="preserve"> 2</w:t>
      </w:r>
      <w:r>
        <w:rPr>
          <w:rFonts w:hint="eastAsia" w:ascii="宋体" w:hAnsi="宋体" w:cs="Times New Roman"/>
          <w:spacing w:val="9"/>
          <w:sz w:val="28"/>
          <w:szCs w:val="28"/>
          <w:lang w:eastAsia="zh-CN"/>
        </w:rPr>
        <w:t>。</w:t>
      </w:r>
    </w:p>
    <w:p>
      <w:pPr>
        <w:spacing w:before="54" w:line="360" w:lineRule="auto"/>
        <w:ind w:left="157" w:right="108" w:firstLine="620"/>
        <w:jc w:val="center"/>
        <w:rPr>
          <w:rFonts w:ascii="宋体"/>
          <w:sz w:val="28"/>
          <w:szCs w:val="28"/>
          <w:lang w:eastAsia="zh-CN"/>
        </w:rPr>
      </w:pPr>
      <w:bookmarkStart w:id="7" w:name="OLE_LINK12"/>
      <w:r>
        <w:rPr>
          <w:rFonts w:hint="eastAsia" w:ascii="宋体" w:hAnsi="宋体" w:cs="Times New Roman"/>
          <w:b/>
          <w:bCs/>
          <w:spacing w:val="5"/>
          <w:sz w:val="28"/>
          <w:szCs w:val="28"/>
          <w:lang w:eastAsia="zh-CN"/>
        </w:rPr>
        <w:t>表</w:t>
      </w:r>
      <w:r>
        <w:rPr>
          <w:rFonts w:ascii="宋体" w:hAnsi="宋体" w:cs="Times New Roman"/>
          <w:b/>
          <w:bCs/>
          <w:spacing w:val="5"/>
          <w:sz w:val="28"/>
          <w:szCs w:val="28"/>
          <w:lang w:eastAsia="zh-CN"/>
        </w:rPr>
        <w:t xml:space="preserve"> 2</w:t>
      </w:r>
      <w:bookmarkStart w:id="8" w:name="OLE_LINK21"/>
      <w:r>
        <w:rPr>
          <w:rFonts w:ascii="宋体" w:hAnsi="宋体" w:cs="Times New Roman"/>
          <w:b/>
          <w:bCs/>
          <w:spacing w:val="5"/>
          <w:sz w:val="28"/>
          <w:szCs w:val="28"/>
          <w:lang w:eastAsia="zh-CN"/>
        </w:rPr>
        <w:t xml:space="preserve">   </w:t>
      </w:r>
      <w:bookmarkEnd w:id="8"/>
      <w:r>
        <w:rPr>
          <w:rFonts w:hint="eastAsia" w:ascii="宋体" w:hAnsi="宋体" w:cs="Times New Roman"/>
          <w:b/>
          <w:bCs/>
          <w:spacing w:val="5"/>
          <w:sz w:val="28"/>
          <w:szCs w:val="28"/>
          <w:lang w:eastAsia="zh-CN"/>
        </w:rPr>
        <w:t>特殊要求房间及要求范围</w:t>
      </w:r>
    </w:p>
    <w:bookmarkEnd w:id="7"/>
    <w:tbl>
      <w:tblPr>
        <w:tblStyle w:val="5"/>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87"/>
        <w:gridCol w:w="2664"/>
        <w:gridCol w:w="3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814" w:type="pct"/>
            <w:vAlign w:val="center"/>
          </w:tcPr>
          <w:p>
            <w:pPr>
              <w:spacing w:before="57" w:line="360" w:lineRule="auto"/>
              <w:ind w:right="2"/>
              <w:jc w:val="center"/>
              <w:rPr>
                <w:rFonts w:hint="eastAsia" w:ascii="仿宋_GB2312" w:hAnsi="仿宋_GB2312" w:eastAsia="仿宋_GB2312" w:cs="仿宋_GB2312"/>
                <w:spacing w:val="9"/>
                <w:sz w:val="28"/>
                <w:szCs w:val="28"/>
              </w:rPr>
            </w:pPr>
            <w:r>
              <w:rPr>
                <w:rFonts w:hint="eastAsia" w:ascii="仿宋_GB2312" w:hAnsi="仿宋_GB2312" w:eastAsia="仿宋_GB2312" w:cs="仿宋_GB2312"/>
                <w:spacing w:val="9"/>
                <w:sz w:val="28"/>
                <w:szCs w:val="28"/>
              </w:rPr>
              <w:t>房间名称</w:t>
            </w:r>
          </w:p>
        </w:tc>
        <w:tc>
          <w:tcPr>
            <w:tcW w:w="1470" w:type="pc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rPr>
              <w:t>温度标准</w:t>
            </w:r>
            <w:r>
              <w:rPr>
                <w:rFonts w:hint="eastAsia" w:ascii="仿宋_GB2312" w:hAnsi="仿宋_GB2312" w:eastAsia="仿宋_GB2312" w:cs="仿宋_GB2312"/>
                <w:spacing w:val="9"/>
                <w:sz w:val="28"/>
                <w:szCs w:val="28"/>
                <w:lang w:eastAsia="zh-CN"/>
              </w:rPr>
              <w:t>（℃）</w:t>
            </w:r>
          </w:p>
        </w:tc>
        <w:tc>
          <w:tcPr>
            <w:tcW w:w="1714" w:type="pc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rPr>
              <w:t>相对湿度标准</w:t>
            </w:r>
            <w:r>
              <w:rPr>
                <w:rFonts w:hint="eastAsia" w:ascii="仿宋_GB2312" w:hAnsi="仿宋_GB2312" w:eastAsia="仿宋_GB2312" w:cs="仿宋_GB2312"/>
                <w:spacing w:val="9"/>
                <w:sz w:val="28"/>
                <w:szCs w:val="28"/>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814" w:type="pct"/>
            <w:vAlign w:val="center"/>
          </w:tcPr>
          <w:p>
            <w:pPr>
              <w:spacing w:before="57" w:line="360" w:lineRule="auto"/>
              <w:ind w:right="2"/>
              <w:jc w:val="center"/>
              <w:rPr>
                <w:rFonts w:hint="eastAsia" w:ascii="仿宋_GB2312" w:hAnsi="仿宋_GB2312" w:eastAsia="仿宋_GB2312" w:cs="仿宋_GB2312"/>
                <w:spacing w:val="9"/>
                <w:sz w:val="28"/>
                <w:szCs w:val="28"/>
              </w:rPr>
            </w:pPr>
            <w:r>
              <w:rPr>
                <w:rFonts w:hint="eastAsia" w:ascii="仿宋_GB2312" w:hAnsi="仿宋_GB2312" w:eastAsia="仿宋_GB2312" w:cs="仿宋_GB2312"/>
                <w:spacing w:val="9"/>
                <w:sz w:val="28"/>
                <w:szCs w:val="28"/>
                <w:lang w:eastAsia="zh-CN"/>
              </w:rPr>
              <w:t>前室</w:t>
            </w:r>
          </w:p>
        </w:tc>
        <w:tc>
          <w:tcPr>
            <w:tcW w:w="1470" w:type="pct"/>
            <w:vAlign w:val="center"/>
          </w:tcPr>
          <w:p>
            <w:pPr>
              <w:spacing w:before="57" w:line="360" w:lineRule="auto"/>
              <w:ind w:right="2"/>
              <w:jc w:val="center"/>
              <w:rPr>
                <w:rFonts w:hint="eastAsia" w:ascii="仿宋_GB2312" w:hAnsi="仿宋_GB2312" w:eastAsia="仿宋_GB2312" w:cs="仿宋_GB2312"/>
                <w:spacing w:val="9"/>
                <w:sz w:val="28"/>
                <w:szCs w:val="28"/>
              </w:rPr>
            </w:pPr>
            <w:r>
              <w:rPr>
                <w:rFonts w:hint="eastAsia" w:ascii="仿宋_GB2312" w:hAnsi="仿宋_GB2312" w:eastAsia="仿宋_GB2312" w:cs="仿宋_GB2312"/>
                <w:spacing w:val="9"/>
                <w:sz w:val="28"/>
                <w:szCs w:val="28"/>
                <w:lang w:eastAsia="zh-CN"/>
              </w:rPr>
              <w:t>18-26</w:t>
            </w:r>
          </w:p>
        </w:tc>
        <w:tc>
          <w:tcPr>
            <w:tcW w:w="1714" w:type="pc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814" w:type="pct"/>
            <w:vAlign w:val="center"/>
          </w:tcPr>
          <w:p>
            <w:pPr>
              <w:spacing w:before="57" w:line="360" w:lineRule="auto"/>
              <w:ind w:right="2"/>
              <w:jc w:val="center"/>
              <w:rPr>
                <w:rFonts w:hint="eastAsia" w:ascii="仿宋_GB2312" w:hAnsi="仿宋_GB2312" w:eastAsia="仿宋_GB2312" w:cs="仿宋_GB2312"/>
                <w:spacing w:val="9"/>
                <w:sz w:val="28"/>
                <w:szCs w:val="28"/>
              </w:rPr>
            </w:pPr>
            <w:r>
              <w:rPr>
                <w:rFonts w:hint="eastAsia" w:ascii="仿宋_GB2312" w:hAnsi="仿宋_GB2312" w:eastAsia="仿宋_GB2312" w:cs="仿宋_GB2312"/>
                <w:spacing w:val="9"/>
                <w:sz w:val="28"/>
                <w:szCs w:val="28"/>
                <w:lang w:eastAsia="zh-CN"/>
              </w:rPr>
              <w:t>内包装室</w:t>
            </w:r>
          </w:p>
        </w:tc>
        <w:tc>
          <w:tcPr>
            <w:tcW w:w="1470" w:type="pct"/>
            <w:vAlign w:val="center"/>
          </w:tcPr>
          <w:p>
            <w:pPr>
              <w:spacing w:before="57" w:line="360" w:lineRule="auto"/>
              <w:ind w:right="2"/>
              <w:jc w:val="center"/>
              <w:rPr>
                <w:rFonts w:hint="eastAsia" w:ascii="仿宋_GB2312" w:hAnsi="仿宋_GB2312" w:eastAsia="仿宋_GB2312" w:cs="仿宋_GB2312"/>
                <w:spacing w:val="9"/>
                <w:sz w:val="28"/>
                <w:szCs w:val="28"/>
              </w:rPr>
            </w:pPr>
            <w:r>
              <w:rPr>
                <w:rFonts w:hint="eastAsia" w:ascii="仿宋_GB2312" w:hAnsi="仿宋_GB2312" w:eastAsia="仿宋_GB2312" w:cs="仿宋_GB2312"/>
                <w:spacing w:val="9"/>
                <w:sz w:val="28"/>
                <w:szCs w:val="28"/>
                <w:lang w:eastAsia="zh-CN"/>
              </w:rPr>
              <w:t>18-26</w:t>
            </w:r>
          </w:p>
        </w:tc>
        <w:tc>
          <w:tcPr>
            <w:tcW w:w="1714" w:type="pc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814" w:type="pct"/>
            <w:vAlign w:val="center"/>
          </w:tcPr>
          <w:p>
            <w:pPr>
              <w:spacing w:before="57" w:line="360" w:lineRule="auto"/>
              <w:ind w:right="2"/>
              <w:jc w:val="center"/>
              <w:rPr>
                <w:rFonts w:hint="eastAsia" w:ascii="仿宋_GB2312" w:hAnsi="仿宋_GB2312" w:eastAsia="仿宋_GB2312" w:cs="仿宋_GB2312"/>
                <w:spacing w:val="9"/>
                <w:sz w:val="28"/>
                <w:szCs w:val="28"/>
              </w:rPr>
            </w:pPr>
            <w:r>
              <w:rPr>
                <w:rFonts w:hint="eastAsia" w:ascii="仿宋_GB2312" w:hAnsi="仿宋_GB2312" w:eastAsia="仿宋_GB2312" w:cs="仿宋_GB2312"/>
                <w:spacing w:val="9"/>
                <w:sz w:val="28"/>
                <w:szCs w:val="28"/>
                <w:lang w:eastAsia="zh-CN"/>
              </w:rPr>
              <w:t>防爆门斗</w:t>
            </w:r>
          </w:p>
        </w:tc>
        <w:tc>
          <w:tcPr>
            <w:tcW w:w="1470" w:type="pct"/>
            <w:vAlign w:val="center"/>
          </w:tcPr>
          <w:p>
            <w:pPr>
              <w:spacing w:before="57" w:line="360" w:lineRule="auto"/>
              <w:ind w:right="2"/>
              <w:jc w:val="center"/>
              <w:rPr>
                <w:rFonts w:hint="eastAsia" w:ascii="仿宋_GB2312" w:hAnsi="仿宋_GB2312" w:eastAsia="仿宋_GB2312" w:cs="仿宋_GB2312"/>
                <w:spacing w:val="9"/>
                <w:sz w:val="28"/>
                <w:szCs w:val="28"/>
              </w:rPr>
            </w:pPr>
            <w:r>
              <w:rPr>
                <w:rFonts w:hint="eastAsia" w:ascii="仿宋_GB2312" w:hAnsi="仿宋_GB2312" w:eastAsia="仿宋_GB2312" w:cs="仿宋_GB2312"/>
                <w:spacing w:val="9"/>
                <w:sz w:val="28"/>
                <w:szCs w:val="28"/>
                <w:lang w:eastAsia="zh-CN"/>
              </w:rPr>
              <w:t>18-26</w:t>
            </w:r>
          </w:p>
        </w:tc>
        <w:tc>
          <w:tcPr>
            <w:tcW w:w="1714" w:type="pc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814" w:type="pc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干燥室</w:t>
            </w:r>
          </w:p>
        </w:tc>
        <w:tc>
          <w:tcPr>
            <w:tcW w:w="1470" w:type="pc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18-26</w:t>
            </w:r>
          </w:p>
        </w:tc>
        <w:tc>
          <w:tcPr>
            <w:tcW w:w="1714" w:type="pc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＜30</w:t>
            </w:r>
          </w:p>
        </w:tc>
      </w:tr>
    </w:tbl>
    <w:p>
      <w:pPr>
        <w:spacing w:line="360" w:lineRule="auto"/>
        <w:ind w:firstLine="628" w:firstLineChars="200"/>
        <w:rPr>
          <w:rFonts w:ascii="宋体" w:cs="Times New Roman"/>
          <w:spacing w:val="17"/>
          <w:sz w:val="28"/>
          <w:szCs w:val="28"/>
          <w:lang w:eastAsia="zh-CN"/>
        </w:rPr>
      </w:pP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29" w:firstLineChars="0"/>
        <w:jc w:val="both"/>
        <w:textAlignment w:val="baseline"/>
        <w:rPr>
          <w:rFonts w:ascii="宋体" w:cs="Times New Roman"/>
          <w:spacing w:val="9"/>
          <w:sz w:val="28"/>
          <w:szCs w:val="28"/>
          <w:lang w:eastAsia="zh-CN"/>
        </w:rPr>
      </w:pPr>
      <w:bookmarkStart w:id="9" w:name="OLE_LINK17"/>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应设置物料运输通道，不同清洁作业区之间的物料通道应分隔，防止交叉污染。</w:t>
      </w:r>
    </w:p>
    <w:bookmarkEnd w:id="9"/>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29" w:firstLineChars="0"/>
        <w:jc w:val="both"/>
        <w:textAlignment w:val="baseline"/>
        <w:rPr>
          <w:rFonts w:ascii="宋体" w:cs="Times New Roman"/>
          <w:spacing w:val="9"/>
          <w:sz w:val="28"/>
          <w:szCs w:val="28"/>
          <w:lang w:eastAsia="zh-CN"/>
        </w:rPr>
      </w:pPr>
      <w:bookmarkStart w:id="10" w:name="OLE_LINK20"/>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生产车间内易产生冷凝水的，应有避免冷凝水滴落到裸露产品的防护措施。</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29"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生产车间地面应有一定的排水坡度，保证地面水可以自然流向地漏、排水沟。</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29" w:firstLineChars="0"/>
        <w:jc w:val="both"/>
        <w:textAlignment w:val="baseline"/>
        <w:rPr>
          <w:rFonts w:ascii="宋体" w:cs="Times New Roman"/>
          <w:color w:val="auto"/>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color w:val="auto"/>
          <w:spacing w:val="9"/>
          <w:sz w:val="28"/>
          <w:szCs w:val="28"/>
          <w:highlight w:val="none"/>
          <w:lang w:eastAsia="zh-CN"/>
        </w:rPr>
        <w:t>库房内的原料、包材、成品等应分区域或分隔存放。</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29" w:firstLineChars="0"/>
        <w:jc w:val="both"/>
        <w:textAlignment w:val="baseline"/>
        <w:rPr>
          <w:rFonts w:ascii="宋体" w:cs="Times New Roman"/>
          <w:spacing w:val="9"/>
          <w:sz w:val="28"/>
          <w:szCs w:val="28"/>
          <w:lang w:eastAsia="zh-CN"/>
        </w:rPr>
      </w:pPr>
      <w:bookmarkStart w:id="11" w:name="OLE_LINK22"/>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清洁作业区应定期进行环境监测，监测项目、监测房间及频次详见表</w:t>
      </w:r>
      <w:r>
        <w:rPr>
          <w:rFonts w:ascii="宋体" w:hAnsi="宋体" w:cs="Times New Roman"/>
          <w:spacing w:val="9"/>
          <w:sz w:val="28"/>
          <w:szCs w:val="28"/>
          <w:lang w:eastAsia="zh-CN"/>
        </w:rPr>
        <w:t xml:space="preserve"> 3</w:t>
      </w:r>
      <w:r>
        <w:rPr>
          <w:rFonts w:hint="eastAsia" w:ascii="宋体" w:hAnsi="宋体" w:cs="Times New Roman"/>
          <w:spacing w:val="9"/>
          <w:sz w:val="28"/>
          <w:szCs w:val="28"/>
          <w:lang w:eastAsia="zh-CN"/>
        </w:rPr>
        <w:t>。</w:t>
      </w:r>
      <w:bookmarkStart w:id="51" w:name="_GoBack"/>
      <w:bookmarkEnd w:id="51"/>
    </w:p>
    <w:bookmarkEnd w:id="11"/>
    <w:p>
      <w:pPr>
        <w:spacing w:before="54" w:line="360" w:lineRule="auto"/>
        <w:ind w:left="157" w:right="108" w:firstLine="620"/>
        <w:jc w:val="center"/>
        <w:rPr>
          <w:rFonts w:ascii="宋体"/>
          <w:sz w:val="28"/>
          <w:szCs w:val="28"/>
          <w:lang w:eastAsia="zh-CN"/>
        </w:rPr>
      </w:pPr>
      <w:r>
        <w:rPr>
          <w:rFonts w:hint="eastAsia" w:ascii="宋体" w:hAnsi="宋体" w:cs="Times New Roman"/>
          <w:b/>
          <w:bCs/>
          <w:spacing w:val="5"/>
          <w:sz w:val="28"/>
          <w:szCs w:val="28"/>
          <w:lang w:eastAsia="zh-CN"/>
        </w:rPr>
        <w:t>表</w:t>
      </w:r>
      <w:r>
        <w:rPr>
          <w:rFonts w:ascii="宋体" w:hAnsi="宋体" w:cs="Times New Roman"/>
          <w:b/>
          <w:bCs/>
          <w:spacing w:val="5"/>
          <w:sz w:val="28"/>
          <w:szCs w:val="28"/>
          <w:lang w:eastAsia="zh-CN"/>
        </w:rPr>
        <w:t xml:space="preserve"> 3   </w:t>
      </w:r>
      <w:r>
        <w:rPr>
          <w:rFonts w:hint="eastAsia" w:ascii="宋体" w:hAnsi="宋体" w:cs="Times New Roman"/>
          <w:b/>
          <w:bCs/>
          <w:spacing w:val="5"/>
          <w:sz w:val="28"/>
          <w:szCs w:val="28"/>
          <w:lang w:eastAsia="zh-CN"/>
        </w:rPr>
        <w:t>环境监测一览表</w:t>
      </w:r>
    </w:p>
    <w:bookmarkEnd w:id="10"/>
    <w:tbl>
      <w:tblPr>
        <w:tblStyle w:val="5"/>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1"/>
        <w:gridCol w:w="1523"/>
        <w:gridCol w:w="5353"/>
        <w:gridCol w:w="1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blHeader/>
          <w:jc w:val="center"/>
        </w:trPr>
        <w:tc>
          <w:tcPr>
            <w:tcW w:w="547" w:type="pct"/>
            <w:vAlign w:val="center"/>
          </w:tcPr>
          <w:p>
            <w:pPr>
              <w:spacing w:before="57"/>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生产状态</w:t>
            </w:r>
          </w:p>
        </w:tc>
        <w:tc>
          <w:tcPr>
            <w:tcW w:w="841" w:type="pct"/>
            <w:vAlign w:val="center"/>
          </w:tcPr>
          <w:p>
            <w:pPr>
              <w:spacing w:before="57"/>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监测项目</w:t>
            </w:r>
          </w:p>
        </w:tc>
        <w:tc>
          <w:tcPr>
            <w:tcW w:w="2955" w:type="pct"/>
            <w:vAlign w:val="center"/>
          </w:tcPr>
          <w:p>
            <w:pPr>
              <w:spacing w:before="57"/>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监测房间</w:t>
            </w:r>
          </w:p>
        </w:tc>
        <w:tc>
          <w:tcPr>
            <w:tcW w:w="655" w:type="pct"/>
            <w:vAlign w:val="center"/>
          </w:tcPr>
          <w:p>
            <w:pPr>
              <w:spacing w:before="57"/>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1" w:hRule="atLeast"/>
          <w:jc w:val="center"/>
        </w:trPr>
        <w:tc>
          <w:tcPr>
            <w:tcW w:w="547" w:type="pct"/>
            <w:vMerge w:val="restar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动态</w:t>
            </w:r>
          </w:p>
        </w:tc>
        <w:tc>
          <w:tcPr>
            <w:tcW w:w="841" w:type="pc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空气悬浮粒子、浮游菌、沉降菌</w:t>
            </w:r>
          </w:p>
        </w:tc>
        <w:tc>
          <w:tcPr>
            <w:tcW w:w="2955" w:type="pct"/>
            <w:vAlign w:val="center"/>
          </w:tcPr>
          <w:p>
            <w:pPr>
              <w:spacing w:before="57" w:line="360" w:lineRule="auto"/>
              <w:ind w:right="2"/>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男更洁净衣、女更洁净衣、手消毒、废物通道、洁净服清洗室、桶暂存室/工具存放室、工器具清洗室、称量室、物流缓冲、配料灌装室、中间体暂存、洁具清洗暂存室、中检室、物流运出缓冲、前室、内包装室、原料暂存室、内包材暂存室、洁净走廊、前室2、干燥室2、粉碎过筛室、混合室、防爆门斗、结晶分离室、干燥室1</w:t>
            </w:r>
          </w:p>
        </w:tc>
        <w:tc>
          <w:tcPr>
            <w:tcW w:w="655" w:type="pct"/>
            <w:vMerge w:val="restar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每季度一次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547" w:type="pct"/>
            <w:vMerge w:val="continue"/>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p>
        </w:tc>
        <w:tc>
          <w:tcPr>
            <w:tcW w:w="841" w:type="pc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表面微生物</w:t>
            </w:r>
          </w:p>
        </w:tc>
        <w:tc>
          <w:tcPr>
            <w:tcW w:w="2955" w:type="pct"/>
            <w:vAlign w:val="center"/>
          </w:tcPr>
          <w:p>
            <w:pPr>
              <w:spacing w:before="57" w:line="360" w:lineRule="auto"/>
              <w:ind w:right="2"/>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称量室、配料灌装室、内包装室、洁净走廊、粉碎过筛室、混合室、结晶分离室、干燥室1、内包材暂存室、原料暂存室</w:t>
            </w:r>
          </w:p>
        </w:tc>
        <w:tc>
          <w:tcPr>
            <w:tcW w:w="655" w:type="pct"/>
            <w:vMerge w:val="continue"/>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9" w:hRule="atLeast"/>
          <w:jc w:val="center"/>
        </w:trPr>
        <w:tc>
          <w:tcPr>
            <w:tcW w:w="547" w:type="pct"/>
            <w:vMerge w:val="restar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静态</w:t>
            </w:r>
          </w:p>
        </w:tc>
        <w:tc>
          <w:tcPr>
            <w:tcW w:w="841" w:type="pc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空气悬浮粒子、浮游菌、沉降菌</w:t>
            </w:r>
          </w:p>
        </w:tc>
        <w:tc>
          <w:tcPr>
            <w:tcW w:w="2955" w:type="pct"/>
            <w:vAlign w:val="center"/>
          </w:tcPr>
          <w:p>
            <w:pPr>
              <w:spacing w:before="57" w:line="360" w:lineRule="auto"/>
              <w:ind w:right="2"/>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男更洁净衣、女更洁净衣、手消毒、废物通道、洁净服清洗室、桶暂存室/工具存放室、工器具清洗室、称量室、物流缓冲、配料灌装室、中间体暂存、洁具清洗暂存室、中检室、物流运出缓冲、前室、内包装室、原料暂存室、内包材暂存室、洁净走廊、前室2、干燥室2、粉碎过筛室、混合室、防爆门斗、结晶分离室、干燥室1</w:t>
            </w:r>
          </w:p>
        </w:tc>
        <w:tc>
          <w:tcPr>
            <w:tcW w:w="655" w:type="pct"/>
            <w:vMerge w:val="restar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每半年一次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5" w:hRule="atLeast"/>
          <w:jc w:val="center"/>
        </w:trPr>
        <w:tc>
          <w:tcPr>
            <w:tcW w:w="547" w:type="pct"/>
            <w:vMerge w:val="continue"/>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p>
        </w:tc>
        <w:tc>
          <w:tcPr>
            <w:tcW w:w="841" w:type="pct"/>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表面微生物</w:t>
            </w:r>
          </w:p>
        </w:tc>
        <w:tc>
          <w:tcPr>
            <w:tcW w:w="2955" w:type="pct"/>
            <w:vAlign w:val="center"/>
          </w:tcPr>
          <w:p>
            <w:pPr>
              <w:spacing w:before="57" w:line="360" w:lineRule="auto"/>
              <w:ind w:right="2"/>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9"/>
                <w:sz w:val="28"/>
                <w:szCs w:val="28"/>
                <w:lang w:eastAsia="zh-CN"/>
              </w:rPr>
              <w:t>称量室、配料灌装室、内包装室、洁净走廊、粉碎过筛室、混合室、结晶分离室、干燥室1、内包材暂存室、原料暂存室</w:t>
            </w:r>
          </w:p>
        </w:tc>
        <w:tc>
          <w:tcPr>
            <w:tcW w:w="655" w:type="pct"/>
            <w:vMerge w:val="continue"/>
            <w:vAlign w:val="center"/>
          </w:tcPr>
          <w:p>
            <w:pPr>
              <w:spacing w:before="57" w:line="360" w:lineRule="auto"/>
              <w:ind w:right="2"/>
              <w:jc w:val="center"/>
              <w:rPr>
                <w:rFonts w:hint="eastAsia" w:ascii="仿宋_GB2312" w:hAnsi="仿宋_GB2312" w:eastAsia="仿宋_GB2312" w:cs="仿宋_GB2312"/>
                <w:spacing w:val="9"/>
                <w:sz w:val="28"/>
                <w:szCs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5000" w:type="pct"/>
            <w:gridSpan w:val="4"/>
            <w:vAlign w:val="center"/>
          </w:tcPr>
          <w:p>
            <w:pPr>
              <w:spacing w:before="57" w:line="360" w:lineRule="auto"/>
              <w:ind w:right="2"/>
              <w:rPr>
                <w:rFonts w:hint="eastAsia" w:ascii="仿宋_GB2312" w:hAnsi="仿宋_GB2312" w:eastAsia="仿宋_GB2312" w:cs="仿宋_GB2312"/>
                <w:spacing w:val="9"/>
                <w:sz w:val="28"/>
                <w:szCs w:val="28"/>
                <w:lang w:eastAsia="zh-CN"/>
              </w:rPr>
            </w:pPr>
            <w:r>
              <w:rPr>
                <w:rFonts w:hint="eastAsia" w:ascii="仿宋_GB2312" w:hAnsi="仿宋_GB2312" w:eastAsia="仿宋_GB2312" w:cs="仿宋_GB2312"/>
                <w:spacing w:val="6"/>
                <w:sz w:val="28"/>
                <w:szCs w:val="28"/>
                <w:lang w:eastAsia="zh-CN"/>
              </w:rPr>
              <w:t>注：若动态/静态监测时遇到车间停产/满产的情况，本次监测暂停，在下月监测时补充监测。</w:t>
            </w:r>
          </w:p>
        </w:tc>
      </w:tr>
    </w:tbl>
    <w:p>
      <w:pPr>
        <w:spacing w:line="360" w:lineRule="auto"/>
        <w:ind w:firstLine="560" w:firstLineChars="200"/>
        <w:rPr>
          <w:rFonts w:ascii="宋体" w:cs="Times New Roman"/>
          <w:sz w:val="28"/>
          <w:szCs w:val="28"/>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3162"/>
        <w:textAlignment w:val="baseline"/>
        <w:rPr>
          <w:rFonts w:hint="eastAsia" w:ascii="黑体" w:hAnsi="黑体" w:eastAsia="黑体" w:cs="黑体"/>
          <w:b w:val="0"/>
          <w:bCs w:val="0"/>
          <w:sz w:val="32"/>
          <w:szCs w:val="32"/>
          <w:lang w:eastAsia="zh-CN"/>
        </w:rPr>
      </w:pPr>
      <w:r>
        <w:rPr>
          <w:rFonts w:hint="eastAsia" w:ascii="黑体" w:hAnsi="黑体" w:eastAsia="黑体" w:cs="黑体"/>
          <w:b w:val="0"/>
          <w:bCs w:val="0"/>
          <w:spacing w:val="7"/>
          <w:position w:val="1"/>
          <w:sz w:val="32"/>
          <w:szCs w:val="32"/>
          <w:lang w:eastAsia="zh-CN"/>
        </w:rPr>
        <w:t>第三章  设备设施核查</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bookmarkStart w:id="12" w:name="OLE_LINK23"/>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生产设备，供排水、消毒、废弃物存放、个人卫生、通风、照明、温控、检验等设施应符合《食品生产许可审查通则》中设备设施相关规定。新食品原料</w:t>
      </w:r>
      <w:r>
        <w:rPr>
          <w:rFonts w:ascii="宋体" w:hAnsi="宋体" w:cs="Times New Roman"/>
          <w:spacing w:val="9"/>
          <w:sz w:val="28"/>
          <w:szCs w:val="28"/>
          <w:lang w:eastAsia="zh-CN"/>
        </w:rPr>
        <w:t xml:space="preserve"> L-</w:t>
      </w:r>
      <w:r>
        <w:rPr>
          <w:rFonts w:hint="eastAsia" w:ascii="宋体" w:hAnsi="宋体" w:cs="Times New Roman"/>
          <w:spacing w:val="9"/>
          <w:sz w:val="28"/>
          <w:szCs w:val="28"/>
          <w:lang w:eastAsia="zh-CN"/>
        </w:rPr>
        <w:t>α</w:t>
      </w:r>
      <w:r>
        <w:rPr>
          <w:rFonts w:ascii="宋体" w:cs="Times New Roman"/>
          <w:spacing w:val="9"/>
          <w:sz w:val="28"/>
          <w:szCs w:val="28"/>
          <w:lang w:eastAsia="zh-CN"/>
        </w:rPr>
        <w:t>-</w:t>
      </w:r>
      <w:r>
        <w:rPr>
          <w:rFonts w:hint="eastAsia" w:ascii="宋体" w:hAnsi="宋体" w:cs="Times New Roman"/>
          <w:spacing w:val="9"/>
          <w:sz w:val="28"/>
          <w:szCs w:val="28"/>
          <w:lang w:eastAsia="zh-CN"/>
        </w:rPr>
        <w:t>甘磷酸胆碱常规生产设备设施见表</w:t>
      </w:r>
      <w:r>
        <w:rPr>
          <w:rFonts w:ascii="宋体" w:hAnsi="宋体" w:cs="Times New Roman"/>
          <w:spacing w:val="9"/>
          <w:sz w:val="28"/>
          <w:szCs w:val="28"/>
          <w:lang w:eastAsia="zh-CN"/>
        </w:rPr>
        <w:t xml:space="preserve"> 4</w:t>
      </w:r>
      <w:r>
        <w:rPr>
          <w:rFonts w:hint="eastAsia" w:ascii="宋体" w:hAnsi="宋体" w:cs="Times New Roman"/>
          <w:spacing w:val="9"/>
          <w:sz w:val="28"/>
          <w:szCs w:val="28"/>
          <w:lang w:eastAsia="zh-CN"/>
        </w:rPr>
        <w:t>。</w:t>
      </w:r>
    </w:p>
    <w:p>
      <w:pPr>
        <w:keepNext w:val="0"/>
        <w:keepLines w:val="0"/>
        <w:pageBreakBefore w:val="0"/>
        <w:widowControl/>
        <w:tabs>
          <w:tab w:val="left" w:pos="0"/>
        </w:tabs>
        <w:kinsoku w:val="0"/>
        <w:wordWrap/>
        <w:overflowPunct/>
        <w:topLinePunct w:val="0"/>
        <w:autoSpaceDE w:val="0"/>
        <w:autoSpaceDN w:val="0"/>
        <w:bidi w:val="0"/>
        <w:adjustRightInd w:val="0"/>
        <w:snapToGrid w:val="0"/>
        <w:spacing w:line="560" w:lineRule="exact"/>
        <w:ind w:left="630" w:right="85"/>
        <w:jc w:val="both"/>
        <w:textAlignment w:val="baseline"/>
        <w:rPr>
          <w:rFonts w:ascii="宋体" w:cs="Times New Roman"/>
          <w:spacing w:val="9"/>
          <w:sz w:val="28"/>
          <w:szCs w:val="28"/>
          <w:lang w:eastAsia="zh-CN"/>
        </w:rPr>
      </w:pPr>
    </w:p>
    <w:p>
      <w:pPr>
        <w:tabs>
          <w:tab w:val="left" w:pos="0"/>
        </w:tabs>
        <w:spacing w:before="158" w:line="360" w:lineRule="auto"/>
        <w:ind w:left="630" w:right="85"/>
        <w:jc w:val="both"/>
        <w:rPr>
          <w:rFonts w:ascii="宋体" w:cs="Times New Roman"/>
          <w:spacing w:val="9"/>
          <w:sz w:val="28"/>
          <w:szCs w:val="28"/>
          <w:lang w:eastAsia="zh-CN"/>
        </w:rPr>
      </w:pPr>
    </w:p>
    <w:p>
      <w:pPr>
        <w:tabs>
          <w:tab w:val="left" w:pos="0"/>
        </w:tabs>
        <w:spacing w:before="158" w:line="360" w:lineRule="auto"/>
        <w:ind w:left="630" w:right="85"/>
        <w:jc w:val="both"/>
        <w:rPr>
          <w:rFonts w:ascii="宋体" w:cs="Times New Roman"/>
          <w:spacing w:val="9"/>
          <w:sz w:val="28"/>
          <w:szCs w:val="28"/>
          <w:lang w:eastAsia="zh-CN"/>
        </w:rPr>
      </w:pPr>
    </w:p>
    <w:bookmarkEnd w:id="12"/>
    <w:p>
      <w:pPr>
        <w:spacing w:before="159" w:line="360" w:lineRule="auto"/>
        <w:ind w:left="24" w:right="3" w:firstLine="616"/>
        <w:jc w:val="center"/>
        <w:rPr>
          <w:rFonts w:ascii="宋体" w:cs="Times New Roman"/>
          <w:b/>
          <w:bCs/>
          <w:spacing w:val="5"/>
          <w:sz w:val="28"/>
          <w:szCs w:val="28"/>
          <w:lang w:eastAsia="zh-CN"/>
        </w:rPr>
      </w:pPr>
      <w:bookmarkStart w:id="13" w:name="OLE_LINK3"/>
      <w:r>
        <w:rPr>
          <w:rFonts w:hint="eastAsia" w:ascii="宋体" w:hAnsi="宋体" w:cs="Times New Roman"/>
          <w:b/>
          <w:bCs/>
          <w:spacing w:val="5"/>
          <w:sz w:val="28"/>
          <w:szCs w:val="28"/>
          <w:lang w:eastAsia="zh-CN"/>
        </w:rPr>
        <w:t>表</w:t>
      </w:r>
      <w:r>
        <w:rPr>
          <w:rFonts w:ascii="宋体" w:hAnsi="宋体" w:cs="Times New Roman"/>
          <w:b/>
          <w:bCs/>
          <w:spacing w:val="5"/>
          <w:sz w:val="28"/>
          <w:szCs w:val="28"/>
          <w:lang w:eastAsia="zh-CN"/>
        </w:rPr>
        <w:t xml:space="preserve"> </w:t>
      </w:r>
      <w:r>
        <w:rPr>
          <w:rFonts w:ascii="宋体" w:hAnsi="宋体"/>
          <w:b/>
          <w:bCs/>
          <w:sz w:val="28"/>
          <w:szCs w:val="28"/>
          <w:lang w:eastAsia="zh-CN"/>
        </w:rPr>
        <w:t>4</w:t>
      </w:r>
      <w:r>
        <w:rPr>
          <w:rFonts w:ascii="宋体" w:hAnsi="宋体" w:cs="Times New Roman"/>
          <w:b/>
          <w:bCs/>
          <w:spacing w:val="5"/>
          <w:sz w:val="28"/>
          <w:szCs w:val="28"/>
          <w:lang w:eastAsia="zh-CN"/>
        </w:rPr>
        <w:t xml:space="preserve">   </w:t>
      </w:r>
      <w:r>
        <w:rPr>
          <w:rFonts w:hint="eastAsia" w:ascii="宋体" w:hAnsi="宋体" w:cs="Times New Roman"/>
          <w:b/>
          <w:bCs/>
          <w:spacing w:val="5"/>
          <w:sz w:val="28"/>
          <w:szCs w:val="28"/>
          <w:lang w:eastAsia="zh-CN"/>
        </w:rPr>
        <w:t>常规生产设备设施</w:t>
      </w:r>
    </w:p>
    <w:bookmarkEnd w:id="13"/>
    <w:tbl>
      <w:tblPr>
        <w:tblStyle w:val="5"/>
        <w:tblpPr w:leftFromText="180" w:rightFromText="180" w:vertAnchor="text" w:horzAnchor="page" w:tblpX="1798" w:tblpY="18"/>
        <w:tblOverlap w:val="never"/>
        <w:tblW w:w="884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85"/>
        <w:gridCol w:w="676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2085" w:type="dxa"/>
            <w:vAlign w:val="center"/>
          </w:tcPr>
          <w:p>
            <w:pPr>
              <w:spacing w:before="247" w:line="360" w:lineRule="auto"/>
              <w:jc w:val="center"/>
              <w:rPr>
                <w:rFonts w:hint="eastAsia" w:ascii="仿宋_GB2312" w:hAnsi="仿宋_GB2312" w:eastAsia="仿宋_GB2312" w:cs="仿宋_GB2312"/>
                <w:sz w:val="28"/>
                <w:szCs w:val="28"/>
              </w:rPr>
            </w:pPr>
            <w:r>
              <w:rPr>
                <w:rFonts w:hint="eastAsia" w:ascii="仿宋_GB2312" w:hAnsi="仿宋_GB2312" w:eastAsia="仿宋_GB2312" w:cs="仿宋_GB2312"/>
                <w:spacing w:val="6"/>
                <w:sz w:val="28"/>
                <w:szCs w:val="28"/>
              </w:rPr>
              <w:t>产品</w:t>
            </w:r>
          </w:p>
        </w:tc>
        <w:tc>
          <w:tcPr>
            <w:tcW w:w="6763" w:type="dxa"/>
            <w:vAlign w:val="center"/>
          </w:tcPr>
          <w:p>
            <w:pPr>
              <w:spacing w:before="247" w:line="360" w:lineRule="auto"/>
              <w:jc w:val="center"/>
              <w:rPr>
                <w:rFonts w:hint="eastAsia" w:ascii="仿宋_GB2312" w:hAnsi="仿宋_GB2312" w:eastAsia="仿宋_GB2312" w:cs="仿宋_GB2312"/>
                <w:sz w:val="28"/>
                <w:szCs w:val="28"/>
              </w:rPr>
            </w:pPr>
            <w:r>
              <w:rPr>
                <w:rFonts w:hint="eastAsia" w:ascii="仿宋_GB2312" w:hAnsi="仿宋_GB2312" w:eastAsia="仿宋_GB2312" w:cs="仿宋_GB2312"/>
                <w:spacing w:val="7"/>
                <w:sz w:val="28"/>
                <w:szCs w:val="28"/>
              </w:rPr>
              <w:t>设施设备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0" w:hRule="atLeast"/>
        </w:trPr>
        <w:tc>
          <w:tcPr>
            <w:tcW w:w="2085" w:type="dxa"/>
            <w:vAlign w:val="center"/>
          </w:tcPr>
          <w:p>
            <w:pPr>
              <w:pStyle w:val="12"/>
              <w:spacing w:before="99" w:line="360" w:lineRule="auto"/>
              <w:ind w:right="163"/>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spacing w:val="9"/>
                <w:sz w:val="28"/>
                <w:szCs w:val="28"/>
                <w:lang w:eastAsia="zh-CN"/>
              </w:rPr>
              <w:t>新食品原料 L-</w:t>
            </w:r>
            <w:r>
              <w:rPr>
                <w:rFonts w:hint="eastAsia" w:ascii="仿宋_GB2312" w:hAnsi="仿宋_GB2312" w:eastAsia="仿宋_GB2312" w:cs="仿宋_GB2312"/>
                <w:spacing w:val="9"/>
                <w:sz w:val="28"/>
                <w:szCs w:val="28"/>
              </w:rPr>
              <w:t>α</w:t>
            </w:r>
            <w:r>
              <w:rPr>
                <w:rFonts w:hint="eastAsia" w:ascii="仿宋_GB2312" w:hAnsi="仿宋_GB2312" w:eastAsia="仿宋_GB2312" w:cs="仿宋_GB2312"/>
                <w:spacing w:val="9"/>
                <w:sz w:val="28"/>
                <w:szCs w:val="28"/>
                <w:lang w:eastAsia="zh-CN"/>
              </w:rPr>
              <w:t>-甘磷酸胆碱</w:t>
            </w:r>
          </w:p>
        </w:tc>
        <w:tc>
          <w:tcPr>
            <w:tcW w:w="6763" w:type="dxa"/>
            <w:vAlign w:val="center"/>
          </w:tcPr>
          <w:p>
            <w:pPr>
              <w:pStyle w:val="12"/>
              <w:spacing w:before="234" w:line="360" w:lineRule="auto"/>
              <w:ind w:right="105"/>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color w:val="000000" w:themeColor="text1"/>
                <w:sz w:val="28"/>
                <w:szCs w:val="28"/>
                <w:lang w:val="fr-FR" w:eastAsia="zh-CN"/>
              </w:rPr>
              <w:t>M402反应釜</w:t>
            </w:r>
            <w:r>
              <w:rPr>
                <w:rFonts w:hint="eastAsia" w:ascii="仿宋_GB2312" w:hAnsi="仿宋_GB2312" w:eastAsia="仿宋_GB2312" w:cs="仿宋_GB2312"/>
                <w:color w:val="000000" w:themeColor="text1"/>
                <w:sz w:val="28"/>
                <w:szCs w:val="28"/>
                <w:lang w:eastAsia="zh-CN"/>
              </w:rPr>
              <w:t>、中和釜、</w:t>
            </w:r>
            <w:bookmarkStart w:id="14" w:name="OLE_LINK24"/>
            <w:r>
              <w:rPr>
                <w:rFonts w:hint="eastAsia" w:ascii="仿宋_GB2312" w:hAnsi="仿宋_GB2312" w:eastAsia="仿宋_GB2312" w:cs="仿宋_GB2312"/>
                <w:color w:val="000000" w:themeColor="text1"/>
                <w:sz w:val="28"/>
                <w:szCs w:val="28"/>
                <w:lang w:val="en-US" w:eastAsia="zh-CN"/>
              </w:rPr>
              <w:t>除盐</w:t>
            </w:r>
            <w:r>
              <w:rPr>
                <w:rFonts w:hint="eastAsia" w:ascii="仿宋_GB2312" w:hAnsi="仿宋_GB2312" w:eastAsia="仿宋_GB2312" w:cs="仿宋_GB2312"/>
                <w:color w:val="000000" w:themeColor="text1"/>
                <w:sz w:val="28"/>
                <w:szCs w:val="28"/>
                <w:lang w:eastAsia="zh-CN"/>
              </w:rPr>
              <w:t>离心机</w:t>
            </w:r>
            <w:bookmarkEnd w:id="14"/>
            <w:r>
              <w:rPr>
                <w:rFonts w:hint="eastAsia" w:ascii="仿宋_GB2312" w:hAnsi="仿宋_GB2312" w:eastAsia="仿宋_GB2312" w:cs="仿宋_GB2312"/>
                <w:color w:val="000000" w:themeColor="text1"/>
                <w:sz w:val="28"/>
                <w:szCs w:val="28"/>
                <w:lang w:eastAsia="zh-CN"/>
              </w:rPr>
              <w:t>、薄膜蒸发器、</w:t>
            </w:r>
            <w:bookmarkStart w:id="15" w:name="OLE_LINK16"/>
            <w:r>
              <w:rPr>
                <w:rFonts w:hint="eastAsia" w:ascii="仿宋_GB2312" w:hAnsi="仿宋_GB2312" w:eastAsia="仿宋_GB2312" w:cs="仿宋_GB2312"/>
                <w:color w:val="000000" w:themeColor="text1"/>
                <w:sz w:val="28"/>
                <w:szCs w:val="28"/>
                <w:lang w:eastAsia="zh-CN"/>
              </w:rPr>
              <w:t>R102</w:t>
            </w:r>
            <w:r>
              <w:rPr>
                <w:rFonts w:hint="eastAsia" w:ascii="仿宋_GB2312" w:hAnsi="仿宋_GB2312" w:eastAsia="仿宋_GB2312" w:cs="仿宋_GB2312"/>
                <w:color w:val="000000" w:themeColor="text1"/>
                <w:sz w:val="28"/>
                <w:szCs w:val="28"/>
                <w:lang w:val="fr-FR" w:eastAsia="zh-CN"/>
              </w:rPr>
              <w:t>合成釜</w:t>
            </w:r>
            <w:bookmarkEnd w:id="15"/>
            <w:r>
              <w:rPr>
                <w:rFonts w:hint="eastAsia" w:ascii="仿宋_GB2312" w:hAnsi="仿宋_GB2312" w:eastAsia="仿宋_GB2312" w:cs="仿宋_GB2312"/>
                <w:color w:val="000000" w:themeColor="text1"/>
                <w:sz w:val="28"/>
                <w:szCs w:val="28"/>
                <w:lang w:val="fr-FR" w:eastAsia="zh-CN"/>
              </w:rPr>
              <w:t>、</w:t>
            </w:r>
            <w:r>
              <w:rPr>
                <w:rFonts w:hint="eastAsia" w:ascii="仿宋_GB2312" w:hAnsi="仿宋_GB2312" w:eastAsia="仿宋_GB2312" w:cs="仿宋_GB2312"/>
                <w:color w:val="000000" w:themeColor="text1"/>
                <w:sz w:val="28"/>
                <w:szCs w:val="28"/>
                <w:lang w:eastAsia="zh-CN"/>
              </w:rPr>
              <w:t>D01</w:t>
            </w:r>
            <w:r>
              <w:rPr>
                <w:rFonts w:hint="eastAsia" w:ascii="仿宋_GB2312" w:hAnsi="仿宋_GB2312" w:eastAsia="仿宋_GB2312" w:cs="仿宋_GB2312"/>
                <w:color w:val="000000" w:themeColor="text1"/>
                <w:sz w:val="28"/>
                <w:szCs w:val="28"/>
                <w:lang w:val="fr-FR" w:eastAsia="zh-CN"/>
              </w:rPr>
              <w:t>合成釜、脱色釜、闪蒸</w:t>
            </w:r>
            <w:r>
              <w:rPr>
                <w:rFonts w:hint="eastAsia" w:ascii="仿宋_GB2312" w:hAnsi="仿宋_GB2312" w:eastAsia="仿宋_GB2312" w:cs="仿宋_GB2312"/>
                <w:color w:val="000000" w:themeColor="text1"/>
                <w:sz w:val="28"/>
                <w:szCs w:val="28"/>
                <w:lang w:eastAsia="zh-CN"/>
              </w:rPr>
              <w:t>罐</w:t>
            </w:r>
            <w:r>
              <w:rPr>
                <w:rFonts w:hint="eastAsia" w:ascii="仿宋_GB2312" w:hAnsi="仿宋_GB2312" w:eastAsia="仿宋_GB2312" w:cs="仿宋_GB2312"/>
                <w:color w:val="000000" w:themeColor="text1"/>
                <w:sz w:val="28"/>
                <w:szCs w:val="28"/>
                <w:lang w:val="fr-FR" w:eastAsia="zh-CN"/>
              </w:rPr>
              <w:t>、</w:t>
            </w:r>
            <w:r>
              <w:rPr>
                <w:rFonts w:hint="eastAsia" w:ascii="仿宋_GB2312" w:hAnsi="仿宋_GB2312" w:eastAsia="仿宋_GB2312" w:cs="仿宋_GB2312"/>
                <w:color w:val="000000" w:themeColor="text1"/>
                <w:sz w:val="28"/>
                <w:szCs w:val="28"/>
                <w:lang w:eastAsia="zh-CN"/>
              </w:rPr>
              <w:t>二次除水釜、一次</w:t>
            </w:r>
            <w:r>
              <w:rPr>
                <w:rFonts w:hint="eastAsia" w:ascii="仿宋_GB2312" w:hAnsi="仿宋_GB2312" w:eastAsia="仿宋_GB2312" w:cs="仿宋_GB2312"/>
                <w:color w:val="000000" w:themeColor="text1"/>
                <w:sz w:val="28"/>
                <w:szCs w:val="28"/>
                <w:lang w:val="fr-FR" w:eastAsia="zh-CN"/>
              </w:rPr>
              <w:t>析晶釜、</w:t>
            </w:r>
            <w:r>
              <w:rPr>
                <w:rFonts w:hint="eastAsia" w:ascii="仿宋_GB2312" w:hAnsi="仿宋_GB2312" w:eastAsia="仿宋_GB2312" w:cs="仿宋_GB2312"/>
                <w:color w:val="000000" w:themeColor="text1"/>
                <w:sz w:val="28"/>
                <w:szCs w:val="28"/>
                <w:lang w:eastAsia="zh-CN"/>
              </w:rPr>
              <w:t>一次析晶离心机、</w:t>
            </w:r>
            <w:r>
              <w:rPr>
                <w:rFonts w:hint="eastAsia" w:ascii="仿宋_GB2312" w:hAnsi="仿宋_GB2312" w:eastAsia="仿宋_GB2312" w:cs="仿宋_GB2312"/>
                <w:color w:val="000000" w:themeColor="text1"/>
                <w:sz w:val="28"/>
                <w:szCs w:val="28"/>
                <w:lang w:val="fr-FR" w:eastAsia="zh-CN"/>
              </w:rPr>
              <w:t>精制溶解釜、</w:t>
            </w:r>
            <w:r>
              <w:rPr>
                <w:rFonts w:hint="eastAsia" w:ascii="仿宋_GB2312" w:hAnsi="仿宋_GB2312" w:eastAsia="仿宋_GB2312" w:cs="仿宋_GB2312"/>
                <w:color w:val="000000" w:themeColor="text1"/>
                <w:sz w:val="28"/>
                <w:szCs w:val="28"/>
                <w:lang w:eastAsia="zh-CN"/>
              </w:rPr>
              <w:t>二次析晶釜、二次析晶离心机、</w:t>
            </w:r>
            <w:r>
              <w:rPr>
                <w:rFonts w:hint="eastAsia" w:ascii="仿宋_GB2312" w:hAnsi="仿宋_GB2312" w:eastAsia="仿宋_GB2312" w:cs="仿宋_GB2312"/>
                <w:color w:val="000000" w:themeColor="text1"/>
                <w:sz w:val="28"/>
                <w:szCs w:val="28"/>
                <w:lang w:val="fr-FR" w:eastAsia="zh-CN"/>
              </w:rPr>
              <w:t>双锥干燥机、包装机、空调机组、纯水分配、纯水制备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8848" w:type="dxa"/>
            <w:gridSpan w:val="2"/>
            <w:vAlign w:val="center"/>
          </w:tcPr>
          <w:p>
            <w:pPr>
              <w:pStyle w:val="12"/>
              <w:spacing w:before="238" w:line="360" w:lineRule="auto"/>
              <w:ind w:left="117"/>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spacing w:val="6"/>
                <w:sz w:val="28"/>
                <w:szCs w:val="28"/>
                <w:lang w:eastAsia="zh-CN"/>
              </w:rPr>
              <w:t>注：本表所列设备为常规设备，企业可根据实际生产情况优化调整。</w:t>
            </w:r>
          </w:p>
        </w:tc>
      </w:tr>
    </w:tbl>
    <w:p>
      <w:pPr>
        <w:spacing w:before="102" w:line="360" w:lineRule="auto"/>
        <w:ind w:right="4"/>
        <w:rPr>
          <w:rFonts w:ascii="宋体" w:cs="Times New Roman"/>
          <w:spacing w:val="9"/>
          <w:sz w:val="28"/>
          <w:szCs w:val="28"/>
          <w:lang w:eastAsia="zh-CN"/>
        </w:rPr>
      </w:pP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29"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应配置足够数量的非手动式洗手设施、消毒设施和感应式干手设施。</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29" w:firstLineChars="0"/>
        <w:jc w:val="both"/>
        <w:textAlignment w:val="baseline"/>
        <w:rPr>
          <w:rFonts w:ascii="宋体" w:cs="Times New Roman"/>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应配备相应的食品、工器具和设备的清洁、消毒设施。</w:t>
      </w:r>
      <w:r>
        <w:rPr>
          <w:rFonts w:hint="eastAsia" w:ascii="宋体" w:hAnsi="宋体" w:cs="Times New Roman"/>
          <w:spacing w:val="-3"/>
          <w:sz w:val="28"/>
          <w:szCs w:val="28"/>
          <w:lang w:eastAsia="zh-CN"/>
        </w:rPr>
        <w:t>用于食品原料、半成品、成品的容器和工具分开放置和使用。</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29" w:firstLineChars="0"/>
        <w:jc w:val="both"/>
        <w:textAlignment w:val="baseline"/>
        <w:rPr>
          <w:rFonts w:ascii="宋体" w:cs="Times New Roman"/>
          <w:spacing w:val="9"/>
          <w:sz w:val="28"/>
          <w:szCs w:val="28"/>
          <w:lang w:eastAsia="zh-CN"/>
        </w:rPr>
      </w:pPr>
      <w:bookmarkStart w:id="16" w:name="OLE_LINK25"/>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应根据生产过程需要，配备通风排气设施，有效控制生产环境温度和湿度，保证空气由清洁度要求高的作业区域流向清洁度要求低的作业区域。通风排气设施应易于清洁、维修或更换。应根据产品、工艺特点配备臭氧等环境消毒设施。应配备防漏、防腐蚀、易于清洁、带脚踏盖的容器存放废弃物。</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29"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仓储设备设施应与所生产产品的数量、贮存要求相适应，满足物料和产品的贮存条件。</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29"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准清洁作业区、清洁作业区应设有单独的更衣室，更衣室应与生产车间相连接。不同清洁作业区应分别设置人员洗手、消毒、干手等设备设施。</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29"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卫生间应采用单个冲水式设施，通风良好，地面干燥，保持清洁，无异味，并有防蚊蝇设施，粪便排泄管不得与生产车间内的污水排放管混用。</w:t>
      </w:r>
    </w:p>
    <w:bookmarkEnd w:id="16"/>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100" w:right="85" w:firstLine="628" w:firstLineChars="211"/>
        <w:jc w:val="both"/>
        <w:textAlignment w:val="baseline"/>
        <w:rPr>
          <w:rFonts w:ascii="宋体" w:cs="Times New Roman"/>
          <w:spacing w:val="9"/>
          <w:sz w:val="28"/>
          <w:szCs w:val="28"/>
          <w:lang w:eastAsia="zh-CN"/>
        </w:rPr>
      </w:pPr>
      <w:bookmarkStart w:id="17" w:name="OLE_LINK26"/>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应按照产品执行标准及检验管理制度中规定的检验项目进行检验。自行开展相关检验的企业应配备满足原料、半成品、成品检验所需的检验设备设施，并确保检验设备的性能、精度满足检验要求。</w:t>
      </w:r>
    </w:p>
    <w:bookmarkEnd w:id="17"/>
    <w:p>
      <w:pPr>
        <w:keepNext w:val="0"/>
        <w:keepLines w:val="0"/>
        <w:pageBreakBefore w:val="0"/>
        <w:widowControl/>
        <w:kinsoku w:val="0"/>
        <w:wordWrap/>
        <w:overflowPunct/>
        <w:topLinePunct w:val="0"/>
        <w:autoSpaceDE w:val="0"/>
        <w:autoSpaceDN w:val="0"/>
        <w:bidi w:val="0"/>
        <w:adjustRightInd w:val="0"/>
        <w:snapToGrid w:val="0"/>
        <w:spacing w:line="560" w:lineRule="exact"/>
        <w:ind w:left="210" w:leftChars="100" w:right="109" w:rightChars="52" w:firstLine="628" w:firstLineChars="211"/>
        <w:textAlignment w:val="baseline"/>
        <w:rPr>
          <w:rFonts w:ascii="宋体" w:cs="Times New Roman"/>
          <w:spacing w:val="9"/>
          <w:sz w:val="28"/>
          <w:szCs w:val="28"/>
          <w:lang w:eastAsia="zh-CN"/>
        </w:rPr>
      </w:pPr>
      <w:r>
        <w:rPr>
          <w:rFonts w:hint="eastAsia" w:ascii="宋体" w:hAnsi="宋体" w:cs="Times New Roman"/>
          <w:spacing w:val="9"/>
          <w:sz w:val="28"/>
          <w:szCs w:val="28"/>
          <w:lang w:eastAsia="zh-CN"/>
        </w:rPr>
        <w:t>检验设备设施的数量应与企业生产能力相适应。常规检验项目及常用检</w:t>
      </w:r>
      <w:bookmarkStart w:id="18" w:name="OLE_LINK7"/>
      <w:r>
        <w:rPr>
          <w:rFonts w:hint="eastAsia" w:ascii="宋体" w:hAnsi="宋体" w:cs="Times New Roman"/>
          <w:spacing w:val="9"/>
          <w:sz w:val="28"/>
          <w:szCs w:val="28"/>
          <w:lang w:eastAsia="zh-CN"/>
        </w:rPr>
        <w:t>验设备见表</w:t>
      </w:r>
      <w:r>
        <w:rPr>
          <w:rFonts w:ascii="宋体" w:hAnsi="宋体" w:cs="Times New Roman"/>
          <w:spacing w:val="9"/>
          <w:sz w:val="28"/>
          <w:szCs w:val="28"/>
          <w:lang w:eastAsia="zh-CN"/>
        </w:rPr>
        <w:t xml:space="preserve"> 5</w:t>
      </w:r>
      <w:r>
        <w:rPr>
          <w:rFonts w:hint="eastAsia" w:ascii="宋体" w:hAnsi="宋体" w:cs="Times New Roman"/>
          <w:spacing w:val="9"/>
          <w:sz w:val="28"/>
          <w:szCs w:val="28"/>
          <w:lang w:eastAsia="zh-CN"/>
        </w:rPr>
        <w:t>。</w:t>
      </w:r>
      <w:bookmarkEnd w:id="18"/>
    </w:p>
    <w:p>
      <w:pPr>
        <w:spacing w:before="50" w:line="360" w:lineRule="auto"/>
        <w:ind w:left="9" w:right="109" w:rightChars="52" w:firstLine="565" w:firstLineChars="189"/>
        <w:jc w:val="center"/>
        <w:rPr>
          <w:rFonts w:ascii="宋体" w:cs="Times New Roman"/>
          <w:b/>
          <w:bCs/>
          <w:spacing w:val="9"/>
          <w:sz w:val="28"/>
          <w:szCs w:val="28"/>
          <w:lang w:eastAsia="zh-CN"/>
        </w:rPr>
      </w:pPr>
      <w:r>
        <w:rPr>
          <w:rFonts w:hint="eastAsia" w:ascii="宋体" w:hAnsi="宋体" w:cs="Times New Roman"/>
          <w:b/>
          <w:bCs/>
          <w:spacing w:val="9"/>
          <w:sz w:val="28"/>
          <w:szCs w:val="28"/>
        </w:rPr>
        <w:t>表</w:t>
      </w:r>
      <w:r>
        <w:rPr>
          <w:rFonts w:ascii="宋体" w:hAnsi="宋体" w:cs="Times New Roman"/>
          <w:b/>
          <w:bCs/>
          <w:spacing w:val="9"/>
          <w:sz w:val="28"/>
          <w:szCs w:val="28"/>
        </w:rPr>
        <w:t xml:space="preserve"> </w:t>
      </w:r>
      <w:r>
        <w:rPr>
          <w:rFonts w:ascii="宋体" w:hAnsi="宋体" w:cs="Times New Roman"/>
          <w:b/>
          <w:bCs/>
          <w:spacing w:val="9"/>
          <w:sz w:val="28"/>
          <w:szCs w:val="28"/>
          <w:lang w:eastAsia="zh-CN"/>
        </w:rPr>
        <w:t>5</w:t>
      </w:r>
      <w:r>
        <w:rPr>
          <w:rFonts w:ascii="宋体" w:hAnsi="宋体" w:cs="Times New Roman"/>
          <w:b/>
          <w:bCs/>
          <w:spacing w:val="9"/>
          <w:sz w:val="28"/>
          <w:szCs w:val="28"/>
        </w:rPr>
        <w:t xml:space="preserve">  </w:t>
      </w:r>
      <w:r>
        <w:rPr>
          <w:rFonts w:ascii="宋体" w:hAnsi="宋体" w:cs="Times New Roman"/>
          <w:b/>
          <w:bCs/>
          <w:spacing w:val="9"/>
          <w:sz w:val="28"/>
          <w:szCs w:val="28"/>
          <w:lang w:eastAsia="zh-CN"/>
        </w:rPr>
        <w:t xml:space="preserve"> </w:t>
      </w:r>
      <w:r>
        <w:rPr>
          <w:rFonts w:hint="eastAsia" w:ascii="宋体" w:hAnsi="宋体" w:cs="Times New Roman"/>
          <w:b/>
          <w:bCs/>
          <w:spacing w:val="9"/>
          <w:sz w:val="28"/>
          <w:szCs w:val="28"/>
          <w:lang w:eastAsia="zh-CN"/>
        </w:rPr>
        <w:t>检验设备</w:t>
      </w:r>
    </w:p>
    <w:tbl>
      <w:tblPr>
        <w:tblStyle w:val="5"/>
        <w:tblW w:w="92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84"/>
        <w:gridCol w:w="2360"/>
        <w:gridCol w:w="48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84" w:type="dxa"/>
            <w:vAlign w:val="center"/>
          </w:tcPr>
          <w:p>
            <w:pPr>
              <w:widowControl w:val="0"/>
              <w:spacing w:before="50" w:line="360" w:lineRule="auto"/>
              <w:ind w:right="109" w:rightChars="52"/>
              <w:jc w:val="center"/>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9"/>
                <w:sz w:val="28"/>
                <w:szCs w:val="28"/>
                <w:lang w:eastAsia="zh-CN"/>
              </w:rPr>
              <w:t>产品类别名称</w:t>
            </w:r>
          </w:p>
        </w:tc>
        <w:tc>
          <w:tcPr>
            <w:tcW w:w="2360" w:type="dxa"/>
            <w:vAlign w:val="center"/>
          </w:tcPr>
          <w:p>
            <w:pPr>
              <w:widowControl w:val="0"/>
              <w:spacing w:before="50" w:line="360" w:lineRule="auto"/>
              <w:ind w:right="109" w:rightChars="52"/>
              <w:jc w:val="center"/>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9"/>
                <w:sz w:val="28"/>
                <w:szCs w:val="28"/>
                <w:lang w:eastAsia="zh-CN"/>
              </w:rPr>
              <w:t>检验项目</w:t>
            </w:r>
          </w:p>
        </w:tc>
        <w:tc>
          <w:tcPr>
            <w:tcW w:w="4817" w:type="dxa"/>
            <w:vAlign w:val="center"/>
          </w:tcPr>
          <w:p>
            <w:pPr>
              <w:widowControl w:val="0"/>
              <w:spacing w:before="50" w:line="360" w:lineRule="auto"/>
              <w:ind w:right="109" w:rightChars="52"/>
              <w:jc w:val="center"/>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9"/>
                <w:sz w:val="28"/>
                <w:szCs w:val="28"/>
                <w:lang w:eastAsia="zh-CN"/>
              </w:rPr>
              <w:t>检验设备设施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84" w:type="dxa"/>
            <w:vMerge w:val="restart"/>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9"/>
                <w:sz w:val="28"/>
                <w:szCs w:val="28"/>
                <w:lang w:eastAsia="zh-CN"/>
              </w:rPr>
              <w:t>新食品原料 L-α-甘磷酸胆碱</w:t>
            </w:r>
          </w:p>
        </w:tc>
        <w:tc>
          <w:tcPr>
            <w:tcW w:w="2360" w:type="dxa"/>
            <w:vAlign w:val="center"/>
          </w:tcPr>
          <w:p>
            <w:pPr>
              <w:widowControl w:val="0"/>
              <w:jc w:val="center"/>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z w:val="28"/>
                <w:szCs w:val="28"/>
                <w:lang w:eastAsia="zh-CN"/>
              </w:rPr>
              <w:t>L-</w:t>
            </w:r>
            <w:r>
              <w:rPr>
                <w:rFonts w:hint="eastAsia" w:ascii="仿宋_GB2312" w:hAnsi="仿宋_GB2312" w:eastAsia="仿宋_GB2312" w:cs="仿宋_GB2312"/>
                <w:color w:val="000000" w:themeColor="text1"/>
                <w:sz w:val="28"/>
                <w:szCs w:val="28"/>
              </w:rPr>
              <w:t>α</w:t>
            </w:r>
            <w:r>
              <w:rPr>
                <w:rFonts w:hint="eastAsia" w:ascii="仿宋_GB2312" w:hAnsi="仿宋_GB2312" w:eastAsia="仿宋_GB2312" w:cs="仿宋_GB2312"/>
                <w:color w:val="000000" w:themeColor="text1"/>
                <w:sz w:val="28"/>
                <w:szCs w:val="28"/>
                <w:lang w:eastAsia="zh-CN"/>
              </w:rPr>
              <w:t>-甘磷酸胆碱含量(以干基计)</w:t>
            </w:r>
          </w:p>
        </w:tc>
        <w:tc>
          <w:tcPr>
            <w:tcW w:w="4817" w:type="dxa"/>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9"/>
                <w:sz w:val="28"/>
                <w:szCs w:val="28"/>
                <w:lang w:eastAsia="zh-CN"/>
              </w:rPr>
              <w:t>电子天平、电位滴定仪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84" w:type="dxa"/>
            <w:vMerge w:val="continue"/>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p>
        </w:tc>
        <w:tc>
          <w:tcPr>
            <w:tcW w:w="2360" w:type="dxa"/>
            <w:vAlign w:val="center"/>
          </w:tcPr>
          <w:p>
            <w:pPr>
              <w:widowControl w:val="0"/>
              <w:jc w:val="center"/>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z w:val="28"/>
                <w:szCs w:val="28"/>
              </w:rPr>
              <w:t>pH值</w:t>
            </w:r>
          </w:p>
        </w:tc>
        <w:tc>
          <w:tcPr>
            <w:tcW w:w="4817" w:type="dxa"/>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9"/>
                <w:sz w:val="28"/>
                <w:szCs w:val="28"/>
                <w:lang w:eastAsia="zh-CN"/>
              </w:rPr>
              <w:t>电子天平、pH计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84" w:type="dxa"/>
            <w:vMerge w:val="continue"/>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p>
        </w:tc>
        <w:tc>
          <w:tcPr>
            <w:tcW w:w="2360" w:type="dxa"/>
            <w:vAlign w:val="center"/>
          </w:tcPr>
          <w:p>
            <w:pPr>
              <w:widowControl w:val="0"/>
              <w:jc w:val="center"/>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z w:val="28"/>
                <w:szCs w:val="28"/>
              </w:rPr>
              <w:t>水分</w:t>
            </w:r>
          </w:p>
        </w:tc>
        <w:tc>
          <w:tcPr>
            <w:tcW w:w="4817" w:type="dxa"/>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9"/>
                <w:sz w:val="28"/>
                <w:szCs w:val="28"/>
                <w:lang w:eastAsia="zh-CN"/>
              </w:rPr>
              <w:t>电子天平、水分测定仪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84" w:type="dxa"/>
            <w:vMerge w:val="continue"/>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p>
        </w:tc>
        <w:tc>
          <w:tcPr>
            <w:tcW w:w="2360" w:type="dxa"/>
            <w:vAlign w:val="center"/>
          </w:tcPr>
          <w:p>
            <w:pPr>
              <w:widowControl w:val="0"/>
              <w:jc w:val="center"/>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z w:val="28"/>
                <w:szCs w:val="28"/>
              </w:rPr>
              <w:t>胆碱</w:t>
            </w:r>
          </w:p>
        </w:tc>
        <w:tc>
          <w:tcPr>
            <w:tcW w:w="4817" w:type="dxa"/>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9"/>
                <w:sz w:val="28"/>
                <w:szCs w:val="28"/>
                <w:lang w:eastAsia="zh-CN"/>
              </w:rPr>
              <w:t>电子天平、紫外可见分光光度计、pH计、恒温水浴锅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84" w:type="dxa"/>
            <w:vMerge w:val="continue"/>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p>
        </w:tc>
        <w:tc>
          <w:tcPr>
            <w:tcW w:w="2360" w:type="dxa"/>
            <w:vAlign w:val="center"/>
          </w:tcPr>
          <w:p>
            <w:pPr>
              <w:widowControl w:val="0"/>
              <w:jc w:val="center"/>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z w:val="28"/>
                <w:szCs w:val="28"/>
              </w:rPr>
              <w:t>β-甘磷酸胆碱</w:t>
            </w:r>
          </w:p>
        </w:tc>
        <w:tc>
          <w:tcPr>
            <w:tcW w:w="4817" w:type="dxa"/>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9"/>
                <w:sz w:val="28"/>
                <w:szCs w:val="28"/>
                <w:lang w:eastAsia="zh-CN"/>
              </w:rPr>
              <w:t>电子天平、高效液相色谱仪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84" w:type="dxa"/>
            <w:vMerge w:val="continue"/>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p>
        </w:tc>
        <w:tc>
          <w:tcPr>
            <w:tcW w:w="2360" w:type="dxa"/>
            <w:vAlign w:val="center"/>
          </w:tcPr>
          <w:p>
            <w:pPr>
              <w:widowControl w:val="0"/>
              <w:jc w:val="center"/>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z w:val="28"/>
                <w:szCs w:val="28"/>
                <w:lang w:eastAsia="zh-CN"/>
              </w:rPr>
              <w:t>D-α-甘磷酸胆碱</w:t>
            </w:r>
          </w:p>
        </w:tc>
        <w:tc>
          <w:tcPr>
            <w:tcW w:w="4817" w:type="dxa"/>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9"/>
                <w:sz w:val="28"/>
                <w:szCs w:val="28"/>
                <w:lang w:eastAsia="zh-CN"/>
              </w:rPr>
              <w:t>电子天平、高效液相色谱仪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84" w:type="dxa"/>
            <w:vMerge w:val="continue"/>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p>
        </w:tc>
        <w:tc>
          <w:tcPr>
            <w:tcW w:w="2360" w:type="dxa"/>
            <w:vAlign w:val="center"/>
          </w:tcPr>
          <w:p>
            <w:pPr>
              <w:widowControl w:val="0"/>
              <w:jc w:val="center"/>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32"/>
                <w:sz w:val="28"/>
                <w:szCs w:val="28"/>
              </w:rPr>
              <w:t>氯</w:t>
            </w:r>
            <w:r>
              <w:rPr>
                <w:rFonts w:hint="eastAsia" w:ascii="仿宋_GB2312" w:hAnsi="仿宋_GB2312" w:eastAsia="仿宋_GB2312" w:cs="仿宋_GB2312"/>
                <w:color w:val="000000" w:themeColor="text1"/>
                <w:spacing w:val="25"/>
                <w:sz w:val="28"/>
                <w:szCs w:val="28"/>
              </w:rPr>
              <w:t>化物(以</w:t>
            </w:r>
            <w:r>
              <w:rPr>
                <w:rFonts w:hint="eastAsia" w:ascii="仿宋_GB2312" w:hAnsi="仿宋_GB2312" w:eastAsia="仿宋_GB2312" w:cs="仿宋_GB2312"/>
                <w:color w:val="000000" w:themeColor="text1"/>
                <w:sz w:val="28"/>
                <w:szCs w:val="28"/>
              </w:rPr>
              <w:t>Cl</w:t>
            </w:r>
            <w:r>
              <w:rPr>
                <w:rFonts w:hint="eastAsia" w:ascii="仿宋_GB2312" w:hAnsi="仿宋_GB2312" w:eastAsia="仿宋_GB2312" w:cs="仿宋_GB2312"/>
                <w:color w:val="000000" w:themeColor="text1"/>
                <w:spacing w:val="25"/>
                <w:sz w:val="28"/>
                <w:szCs w:val="28"/>
              </w:rPr>
              <w:t>计)</w:t>
            </w:r>
          </w:p>
        </w:tc>
        <w:tc>
          <w:tcPr>
            <w:tcW w:w="4817" w:type="dxa"/>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bookmarkStart w:id="19" w:name="OLE_LINK30"/>
            <w:r>
              <w:rPr>
                <w:rFonts w:hint="eastAsia" w:ascii="仿宋_GB2312" w:hAnsi="仿宋_GB2312" w:eastAsia="仿宋_GB2312" w:cs="仿宋_GB2312"/>
                <w:color w:val="000000" w:themeColor="text1"/>
                <w:spacing w:val="9"/>
                <w:sz w:val="28"/>
                <w:szCs w:val="28"/>
                <w:lang w:eastAsia="zh-CN"/>
              </w:rPr>
              <w:t>电子天平</w:t>
            </w:r>
            <w:bookmarkEnd w:id="1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84" w:type="dxa"/>
            <w:vMerge w:val="continue"/>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p>
        </w:tc>
        <w:tc>
          <w:tcPr>
            <w:tcW w:w="2360" w:type="dxa"/>
            <w:vAlign w:val="center"/>
          </w:tcPr>
          <w:p>
            <w:pPr>
              <w:widowControl w:val="0"/>
              <w:jc w:val="center"/>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z w:val="28"/>
                <w:szCs w:val="28"/>
              </w:rPr>
              <w:t>磷酸盐</w:t>
            </w:r>
          </w:p>
        </w:tc>
        <w:tc>
          <w:tcPr>
            <w:tcW w:w="4817" w:type="dxa"/>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9"/>
                <w:sz w:val="28"/>
                <w:szCs w:val="28"/>
                <w:lang w:eastAsia="zh-CN"/>
              </w:rPr>
              <w:t>电子天平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84" w:type="dxa"/>
            <w:vMerge w:val="continue"/>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p>
        </w:tc>
        <w:tc>
          <w:tcPr>
            <w:tcW w:w="2360" w:type="dxa"/>
            <w:vAlign w:val="center"/>
          </w:tcPr>
          <w:p>
            <w:pPr>
              <w:widowControl w:val="0"/>
              <w:jc w:val="center"/>
              <w:rPr>
                <w:rFonts w:hint="eastAsia" w:ascii="仿宋_GB2312" w:hAnsi="仿宋_GB2312" w:eastAsia="仿宋_GB2312" w:cs="仿宋_GB2312"/>
                <w:color w:val="000000" w:themeColor="text1"/>
                <w:spacing w:val="9"/>
                <w:sz w:val="28"/>
                <w:szCs w:val="28"/>
                <w:lang w:eastAsia="zh-CN"/>
              </w:rPr>
            </w:pPr>
            <w:r>
              <w:rPr>
                <w:rFonts w:hint="eastAsia" w:ascii="仿宋_GB2312" w:hAnsi="仿宋_GB2312" w:eastAsia="仿宋_GB2312" w:cs="仿宋_GB2312"/>
                <w:color w:val="000000" w:themeColor="text1"/>
                <w:spacing w:val="9"/>
                <w:sz w:val="28"/>
                <w:szCs w:val="28"/>
                <w:lang w:eastAsia="zh-CN"/>
              </w:rPr>
              <w:t>净含量</w:t>
            </w:r>
          </w:p>
        </w:tc>
        <w:tc>
          <w:tcPr>
            <w:tcW w:w="4817" w:type="dxa"/>
            <w:vAlign w:val="center"/>
          </w:tcPr>
          <w:p>
            <w:pPr>
              <w:widowControl w:val="0"/>
              <w:spacing w:before="50" w:line="360" w:lineRule="auto"/>
              <w:ind w:right="109" w:rightChars="52"/>
              <w:jc w:val="both"/>
              <w:rPr>
                <w:rFonts w:hint="eastAsia" w:ascii="仿宋_GB2312" w:hAnsi="仿宋_GB2312" w:eastAsia="仿宋_GB2312" w:cs="仿宋_GB2312"/>
                <w:color w:val="000000" w:themeColor="text1"/>
                <w:spacing w:val="9"/>
                <w:sz w:val="28"/>
                <w:szCs w:val="28"/>
                <w:lang w:eastAsia="zh-CN"/>
              </w:rPr>
            </w:pPr>
            <w:bookmarkStart w:id="20" w:name="OLE_LINK35"/>
            <w:r>
              <w:rPr>
                <w:rFonts w:hint="eastAsia" w:ascii="仿宋_GB2312" w:hAnsi="仿宋_GB2312" w:eastAsia="仿宋_GB2312" w:cs="仿宋_GB2312"/>
                <w:color w:val="000000" w:themeColor="text1"/>
                <w:spacing w:val="9"/>
                <w:sz w:val="28"/>
                <w:szCs w:val="28"/>
                <w:lang w:eastAsia="zh-CN"/>
              </w:rPr>
              <w:t>电子</w:t>
            </w:r>
            <w:bookmarkEnd w:id="20"/>
            <w:r>
              <w:rPr>
                <w:rFonts w:hint="eastAsia" w:ascii="仿宋_GB2312" w:hAnsi="仿宋_GB2312" w:eastAsia="仿宋_GB2312" w:cs="仿宋_GB2312"/>
                <w:color w:val="000000" w:themeColor="text1"/>
                <w:spacing w:val="9"/>
                <w:sz w:val="28"/>
                <w:szCs w:val="28"/>
                <w:lang w:eastAsia="zh-CN"/>
              </w:rPr>
              <w:t>天平</w:t>
            </w:r>
          </w:p>
        </w:tc>
      </w:tr>
    </w:tbl>
    <w:p>
      <w:pPr>
        <w:keepNext w:val="0"/>
        <w:keepLines w:val="0"/>
        <w:pageBreakBefore w:val="0"/>
        <w:widowControl/>
        <w:kinsoku w:val="0"/>
        <w:wordWrap/>
        <w:overflowPunct/>
        <w:topLinePunct w:val="0"/>
        <w:autoSpaceDE w:val="0"/>
        <w:autoSpaceDN w:val="0"/>
        <w:bidi w:val="0"/>
        <w:adjustRightInd w:val="0"/>
        <w:snapToGrid w:val="0"/>
        <w:spacing w:line="560" w:lineRule="exact"/>
        <w:ind w:left="2362"/>
        <w:textAlignment w:val="baseline"/>
        <w:rPr>
          <w:rFonts w:ascii="宋体" w:cs="Times New Roman"/>
          <w:spacing w:val="8"/>
          <w:position w:val="1"/>
          <w:sz w:val="28"/>
          <w:szCs w:val="28"/>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2362"/>
        <w:textAlignment w:val="baseline"/>
        <w:rPr>
          <w:rFonts w:hint="eastAsia" w:ascii="黑体" w:hAnsi="黑体" w:eastAsia="黑体" w:cs="黑体"/>
          <w:b w:val="0"/>
          <w:bCs w:val="0"/>
          <w:sz w:val="32"/>
          <w:szCs w:val="32"/>
          <w:lang w:eastAsia="zh-CN"/>
        </w:rPr>
      </w:pPr>
      <w:r>
        <w:rPr>
          <w:rFonts w:hint="eastAsia" w:ascii="黑体" w:hAnsi="黑体" w:eastAsia="黑体" w:cs="黑体"/>
          <w:b w:val="0"/>
          <w:bCs w:val="0"/>
          <w:spacing w:val="8"/>
          <w:position w:val="1"/>
          <w:sz w:val="32"/>
          <w:szCs w:val="32"/>
          <w:lang w:eastAsia="zh-CN"/>
        </w:rPr>
        <w:t>第四章  设备布局与工艺流程核查</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right="85"/>
        <w:jc w:val="both"/>
        <w:textAlignment w:val="baseline"/>
        <w:rPr>
          <w:rFonts w:ascii="宋体" w:cs="Times New Roman"/>
          <w:spacing w:val="9"/>
          <w:sz w:val="28"/>
          <w:szCs w:val="28"/>
          <w:lang w:eastAsia="zh-CN"/>
        </w:rPr>
      </w:pPr>
      <w:bookmarkStart w:id="21" w:name="OLE_LINK27"/>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应符合《食品生产许可审查通则》中设备布局和工艺流程相关规定。</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right="85"/>
        <w:jc w:val="both"/>
        <w:textAlignment w:val="baseline"/>
        <w:rPr>
          <w:rFonts w:ascii="宋体" w:hAns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新食品原料</w:t>
      </w:r>
      <w:r>
        <w:rPr>
          <w:rFonts w:ascii="宋体" w:hAnsi="宋体" w:cs="Times New Roman"/>
          <w:spacing w:val="9"/>
          <w:sz w:val="28"/>
          <w:szCs w:val="28"/>
          <w:lang w:eastAsia="zh-CN"/>
        </w:rPr>
        <w:t xml:space="preserve"> L-</w:t>
      </w:r>
      <w:r>
        <w:rPr>
          <w:rFonts w:hint="eastAsia" w:ascii="宋体" w:hAnsi="宋体" w:cs="Times New Roman"/>
          <w:spacing w:val="9"/>
          <w:sz w:val="28"/>
          <w:szCs w:val="28"/>
          <w:lang w:eastAsia="zh-CN"/>
        </w:rPr>
        <w:t>α</w:t>
      </w:r>
      <w:r>
        <w:rPr>
          <w:rFonts w:ascii="宋体" w:hAnsi="宋体" w:cs="Times New Roman"/>
          <w:spacing w:val="9"/>
          <w:sz w:val="28"/>
          <w:szCs w:val="28"/>
          <w:lang w:eastAsia="zh-CN"/>
        </w:rPr>
        <w:t>-</w:t>
      </w:r>
      <w:r>
        <w:rPr>
          <w:rFonts w:hint="eastAsia" w:ascii="宋体" w:hAnsi="宋体" w:cs="Times New Roman"/>
          <w:spacing w:val="9"/>
          <w:sz w:val="28"/>
          <w:szCs w:val="28"/>
          <w:lang w:eastAsia="zh-CN"/>
        </w:rPr>
        <w:t>甘磷酸胆碱生产设备的配备应与产品生产工艺相符，应根据产品特性、质量要求、风险控制等因素确定关键控制环节。新食品原料</w:t>
      </w:r>
      <w:r>
        <w:rPr>
          <w:rFonts w:ascii="宋体" w:hAnsi="宋体" w:cs="Times New Roman"/>
          <w:spacing w:val="9"/>
          <w:sz w:val="28"/>
          <w:szCs w:val="28"/>
          <w:lang w:eastAsia="zh-CN"/>
        </w:rPr>
        <w:t xml:space="preserve"> L-</w:t>
      </w:r>
      <w:r>
        <w:rPr>
          <w:rFonts w:hint="eastAsia" w:ascii="宋体" w:hAnsi="宋体" w:cs="Times New Roman"/>
          <w:spacing w:val="9"/>
          <w:sz w:val="28"/>
          <w:szCs w:val="28"/>
          <w:lang w:eastAsia="zh-CN"/>
        </w:rPr>
        <w:t>α</w:t>
      </w:r>
      <w:r>
        <w:rPr>
          <w:rFonts w:ascii="宋体" w:hAnsi="宋体" w:cs="Times New Roman"/>
          <w:spacing w:val="9"/>
          <w:sz w:val="28"/>
          <w:szCs w:val="28"/>
          <w:lang w:eastAsia="zh-CN"/>
        </w:rPr>
        <w:t>-</w:t>
      </w:r>
      <w:r>
        <w:rPr>
          <w:rFonts w:hint="eastAsia" w:ascii="宋体" w:hAnsi="宋体" w:cs="Times New Roman"/>
          <w:spacing w:val="9"/>
          <w:sz w:val="28"/>
          <w:szCs w:val="28"/>
          <w:lang w:eastAsia="zh-CN"/>
        </w:rPr>
        <w:t>甘磷酸胆碱生产常规工艺流程与关键控制环节见表</w:t>
      </w:r>
      <w:r>
        <w:rPr>
          <w:rFonts w:ascii="宋体" w:hAnsi="宋体" w:cs="Times New Roman"/>
          <w:spacing w:val="9"/>
          <w:sz w:val="28"/>
          <w:szCs w:val="28"/>
          <w:lang w:eastAsia="zh-CN"/>
        </w:rPr>
        <w:t xml:space="preserve"> 6</w:t>
      </w:r>
      <w:r>
        <w:rPr>
          <w:rFonts w:hint="eastAsia" w:ascii="宋体" w:hAnsi="宋体" w:cs="Times New Roman"/>
          <w:spacing w:val="9"/>
          <w:sz w:val="28"/>
          <w:szCs w:val="28"/>
          <w:lang w:eastAsia="zh-CN"/>
        </w:rPr>
        <w:t>。</w:t>
      </w:r>
      <w:bookmarkEnd w:id="21"/>
    </w:p>
    <w:p>
      <w:pPr>
        <w:spacing w:before="50" w:line="360" w:lineRule="auto"/>
        <w:ind w:left="9" w:right="109" w:rightChars="52" w:firstLine="565" w:firstLineChars="189"/>
        <w:jc w:val="center"/>
        <w:rPr>
          <w:rFonts w:ascii="宋体" w:cs="Times New Roman"/>
          <w:b/>
          <w:bCs/>
          <w:spacing w:val="9"/>
          <w:sz w:val="28"/>
          <w:szCs w:val="28"/>
          <w:lang w:eastAsia="zh-CN"/>
        </w:rPr>
      </w:pPr>
      <w:r>
        <w:rPr>
          <w:rFonts w:hint="eastAsia" w:ascii="宋体" w:hAnsi="宋体" w:cs="Times New Roman"/>
          <w:b/>
          <w:bCs/>
          <w:spacing w:val="9"/>
          <w:sz w:val="28"/>
          <w:szCs w:val="28"/>
          <w:lang w:eastAsia="zh-CN"/>
        </w:rPr>
        <w:t>表</w:t>
      </w:r>
      <w:r>
        <w:rPr>
          <w:rFonts w:ascii="宋体" w:hAnsi="宋体" w:cs="Times New Roman"/>
          <w:b/>
          <w:bCs/>
          <w:spacing w:val="9"/>
          <w:sz w:val="28"/>
          <w:szCs w:val="28"/>
          <w:lang w:eastAsia="zh-CN"/>
        </w:rPr>
        <w:t xml:space="preserve"> 6   </w:t>
      </w:r>
      <w:r>
        <w:rPr>
          <w:rFonts w:hint="eastAsia" w:ascii="宋体" w:hAnsi="宋体" w:cs="Times New Roman"/>
          <w:b/>
          <w:bCs/>
          <w:spacing w:val="9"/>
          <w:sz w:val="28"/>
          <w:szCs w:val="28"/>
          <w:lang w:eastAsia="zh-CN"/>
        </w:rPr>
        <w:t>常规工艺流程与关键控制环节</w:t>
      </w:r>
    </w:p>
    <w:tbl>
      <w:tblPr>
        <w:tblStyle w:val="5"/>
        <w:tblW w:w="884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35"/>
        <w:gridCol w:w="2300"/>
        <w:gridCol w:w="501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535" w:type="dxa"/>
          </w:tcPr>
          <w:p>
            <w:pPr>
              <w:spacing w:before="246" w:line="360" w:lineRule="auto"/>
              <w:jc w:val="center"/>
              <w:rPr>
                <w:rFonts w:hint="eastAsia" w:ascii="仿宋_GB2312" w:hAnsi="仿宋_GB2312" w:eastAsia="仿宋_GB2312" w:cs="仿宋_GB2312"/>
                <w:sz w:val="28"/>
                <w:szCs w:val="28"/>
              </w:rPr>
            </w:pPr>
            <w:r>
              <w:rPr>
                <w:rFonts w:hint="eastAsia" w:ascii="仿宋_GB2312" w:hAnsi="仿宋_GB2312" w:eastAsia="仿宋_GB2312" w:cs="仿宋_GB2312"/>
                <w:spacing w:val="6"/>
                <w:sz w:val="28"/>
                <w:szCs w:val="28"/>
              </w:rPr>
              <w:t>产品</w:t>
            </w:r>
          </w:p>
        </w:tc>
        <w:tc>
          <w:tcPr>
            <w:tcW w:w="2300" w:type="dxa"/>
          </w:tcPr>
          <w:p>
            <w:pPr>
              <w:spacing w:before="246" w:line="360" w:lineRule="auto"/>
              <w:jc w:val="center"/>
              <w:rPr>
                <w:rFonts w:hint="eastAsia" w:ascii="仿宋_GB2312" w:hAnsi="仿宋_GB2312" w:eastAsia="仿宋_GB2312" w:cs="仿宋_GB2312"/>
                <w:sz w:val="28"/>
                <w:szCs w:val="28"/>
              </w:rPr>
            </w:pPr>
            <w:r>
              <w:rPr>
                <w:rFonts w:hint="eastAsia" w:ascii="仿宋_GB2312" w:hAnsi="仿宋_GB2312" w:eastAsia="仿宋_GB2312" w:cs="仿宋_GB2312"/>
                <w:spacing w:val="7"/>
                <w:sz w:val="28"/>
                <w:szCs w:val="28"/>
              </w:rPr>
              <w:t>工艺流程</w:t>
            </w:r>
          </w:p>
        </w:tc>
        <w:tc>
          <w:tcPr>
            <w:tcW w:w="5013" w:type="dxa"/>
          </w:tcPr>
          <w:p>
            <w:pPr>
              <w:spacing w:before="246" w:line="360" w:lineRule="auto"/>
              <w:jc w:val="center"/>
              <w:rPr>
                <w:rFonts w:hint="eastAsia" w:ascii="仿宋_GB2312" w:hAnsi="仿宋_GB2312" w:eastAsia="仿宋_GB2312" w:cs="仿宋_GB2312"/>
                <w:sz w:val="28"/>
                <w:szCs w:val="28"/>
              </w:rPr>
            </w:pPr>
            <w:r>
              <w:rPr>
                <w:rFonts w:hint="eastAsia" w:ascii="仿宋_GB2312" w:hAnsi="仿宋_GB2312" w:eastAsia="仿宋_GB2312" w:cs="仿宋_GB2312"/>
                <w:spacing w:val="6"/>
                <w:sz w:val="28"/>
                <w:szCs w:val="28"/>
              </w:rPr>
              <w:t>关键控制环节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1535" w:type="dxa"/>
            <w:tcBorders>
              <w:bottom w:val="single" w:color="auto" w:sz="4" w:space="0"/>
            </w:tcBorders>
            <w:vAlign w:val="center"/>
          </w:tcPr>
          <w:p>
            <w:pPr>
              <w:pStyle w:val="12"/>
              <w:spacing w:before="99" w:line="360" w:lineRule="auto"/>
              <w:ind w:right="108"/>
              <w:rPr>
                <w:rFonts w:hint="eastAsia" w:ascii="仿宋_GB2312" w:hAnsi="仿宋_GB2312" w:eastAsia="仿宋_GB2312" w:cs="仿宋_GB2312"/>
                <w:sz w:val="28"/>
                <w:szCs w:val="28"/>
                <w:lang w:eastAsia="zh-CN"/>
              </w:rPr>
            </w:pPr>
            <w:r>
              <w:rPr>
                <w:rFonts w:hint="eastAsia" w:ascii="仿宋_GB2312" w:hAnsi="仿宋_GB2312" w:eastAsia="仿宋_GB2312" w:cs="仿宋_GB2312"/>
                <w:spacing w:val="8"/>
                <w:sz w:val="28"/>
                <w:szCs w:val="28"/>
                <w:lang w:eastAsia="zh-CN"/>
              </w:rPr>
              <w:t>新食品原料 L-</w:t>
            </w:r>
            <w:r>
              <w:rPr>
                <w:rFonts w:hint="eastAsia" w:ascii="仿宋_GB2312" w:hAnsi="仿宋_GB2312" w:eastAsia="仿宋_GB2312" w:cs="仿宋_GB2312"/>
                <w:spacing w:val="8"/>
                <w:sz w:val="28"/>
                <w:szCs w:val="28"/>
              </w:rPr>
              <w:t>α</w:t>
            </w:r>
            <w:r>
              <w:rPr>
                <w:rFonts w:hint="eastAsia" w:ascii="仿宋_GB2312" w:hAnsi="仿宋_GB2312" w:eastAsia="仿宋_GB2312" w:cs="仿宋_GB2312"/>
                <w:spacing w:val="8"/>
                <w:sz w:val="28"/>
                <w:szCs w:val="28"/>
                <w:lang w:eastAsia="zh-CN"/>
              </w:rPr>
              <w:t>-甘磷酸胆碱</w:t>
            </w:r>
          </w:p>
        </w:tc>
        <w:tc>
          <w:tcPr>
            <w:tcW w:w="2300" w:type="dxa"/>
            <w:tcBorders>
              <w:bottom w:val="single" w:color="auto" w:sz="4" w:space="0"/>
            </w:tcBorders>
            <w:vAlign w:val="center"/>
          </w:tcPr>
          <w:p>
            <w:pPr>
              <w:pStyle w:val="12"/>
              <w:tabs>
                <w:tab w:val="left" w:pos="4048"/>
              </w:tabs>
              <w:spacing w:before="99" w:line="360" w:lineRule="auto"/>
              <w:ind w:right="12"/>
              <w:rPr>
                <w:rFonts w:hint="eastAsia" w:ascii="仿宋_GB2312" w:hAnsi="仿宋_GB2312" w:eastAsia="仿宋_GB2312" w:cs="仿宋_GB2312"/>
                <w:sz w:val="28"/>
                <w:szCs w:val="28"/>
                <w:lang w:eastAsia="zh-CN"/>
              </w:rPr>
            </w:pPr>
            <w:r>
              <w:rPr>
                <w:rFonts w:hint="eastAsia" w:ascii="仿宋_GB2312" w:hAnsi="仿宋_GB2312" w:eastAsia="仿宋_GB2312" w:cs="仿宋_GB2312"/>
                <w:spacing w:val="7"/>
                <w:sz w:val="28"/>
                <w:szCs w:val="28"/>
                <w:lang w:eastAsia="zh-CN"/>
              </w:rPr>
              <w:t>（磷酸胆碱制备）+（R-缩水甘油制备）+</w:t>
            </w:r>
            <w:bookmarkStart w:id="22" w:name="OLE_LINK28"/>
            <w:r>
              <w:rPr>
                <w:rFonts w:hint="eastAsia" w:ascii="仿宋_GB2312" w:hAnsi="仿宋_GB2312" w:eastAsia="仿宋_GB2312" w:cs="仿宋_GB2312"/>
                <w:spacing w:val="7"/>
                <w:sz w:val="28"/>
                <w:szCs w:val="28"/>
                <w:lang w:eastAsia="zh-CN"/>
              </w:rPr>
              <w:t>（L-α-甘磷酸胆碱</w:t>
            </w:r>
            <w:bookmarkEnd w:id="22"/>
            <w:r>
              <w:rPr>
                <w:rFonts w:hint="eastAsia" w:ascii="仿宋_GB2312" w:hAnsi="仿宋_GB2312" w:eastAsia="仿宋_GB2312" w:cs="仿宋_GB2312"/>
                <w:spacing w:val="7"/>
                <w:sz w:val="28"/>
                <w:szCs w:val="28"/>
                <w:lang w:eastAsia="zh-CN"/>
              </w:rPr>
              <w:t>制备）+氢氧化钠+水→</w:t>
            </w:r>
            <w:r>
              <w:rPr>
                <w:rFonts w:hint="eastAsia" w:ascii="仿宋_GB2312" w:hAnsi="仿宋_GB2312" w:eastAsia="仿宋_GB2312" w:cs="仿宋_GB2312"/>
                <w:spacing w:val="9"/>
                <w:sz w:val="28"/>
                <w:szCs w:val="28"/>
                <w:lang w:eastAsia="zh-CN"/>
              </w:rPr>
              <w:t>缩合和酯化反应</w:t>
            </w:r>
            <w:r>
              <w:rPr>
                <w:rFonts w:hint="eastAsia" w:ascii="仿宋_GB2312" w:hAnsi="仿宋_GB2312" w:eastAsia="仿宋_GB2312" w:cs="仿宋_GB2312"/>
                <w:spacing w:val="7"/>
                <w:sz w:val="28"/>
                <w:szCs w:val="28"/>
                <w:lang w:eastAsia="zh-CN"/>
              </w:rPr>
              <w:t>→脱色除杂→浓缩→精制→干燥→包装等。</w:t>
            </w:r>
          </w:p>
        </w:tc>
        <w:tc>
          <w:tcPr>
            <w:tcW w:w="5013" w:type="dxa"/>
            <w:tcBorders>
              <w:bottom w:val="single" w:color="auto" w:sz="4" w:space="0"/>
            </w:tcBorders>
            <w:vAlign w:val="center"/>
          </w:tcPr>
          <w:p>
            <w:pPr>
              <w:pStyle w:val="12"/>
              <w:numPr>
                <w:ilvl w:val="0"/>
                <w:numId w:val="2"/>
              </w:numPr>
              <w:spacing w:before="14" w:line="360" w:lineRule="auto"/>
              <w:ind w:left="111"/>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磷酸胆碱制备：</w:t>
            </w:r>
          </w:p>
          <w:p>
            <w:pPr>
              <w:pStyle w:val="12"/>
              <w:spacing w:before="14" w:line="360" w:lineRule="auto"/>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①人员操作；</w:t>
            </w:r>
          </w:p>
          <w:p>
            <w:pPr>
              <w:pStyle w:val="12"/>
              <w:spacing w:before="14" w:line="360" w:lineRule="auto"/>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②物料/产品混淆、差错；</w:t>
            </w:r>
          </w:p>
          <w:p>
            <w:pPr>
              <w:pStyle w:val="12"/>
              <w:spacing w:before="14" w:line="360" w:lineRule="auto"/>
              <w:rPr>
                <w:rFonts w:hint="eastAsia" w:ascii="仿宋_GB2312" w:hAnsi="仿宋_GB2312" w:eastAsia="仿宋_GB2312" w:cs="仿宋_GB2312"/>
                <w:bCs/>
                <w:sz w:val="28"/>
                <w:szCs w:val="28"/>
                <w:lang w:eastAsia="zh-CN"/>
              </w:rPr>
            </w:pPr>
            <w:bookmarkStart w:id="23" w:name="OLE_LINK4"/>
            <w:r>
              <w:rPr>
                <w:rFonts w:hint="eastAsia" w:ascii="仿宋_GB2312" w:hAnsi="仿宋_GB2312" w:eastAsia="仿宋_GB2312" w:cs="仿宋_GB2312"/>
                <w:bCs/>
                <w:sz w:val="28"/>
                <w:szCs w:val="28"/>
                <w:lang w:eastAsia="zh-CN"/>
              </w:rPr>
              <w:t>③</w:t>
            </w:r>
            <w:bookmarkEnd w:id="23"/>
            <w:r>
              <w:rPr>
                <w:rFonts w:hint="eastAsia" w:ascii="仿宋_GB2312" w:hAnsi="仿宋_GB2312" w:eastAsia="仿宋_GB2312" w:cs="仿宋_GB2312"/>
                <w:bCs/>
                <w:sz w:val="28"/>
                <w:szCs w:val="28"/>
                <w:lang w:eastAsia="zh-CN"/>
              </w:rPr>
              <w:t>设备/仪表故障、设备仪表状态；</w:t>
            </w:r>
          </w:p>
          <w:p>
            <w:pPr>
              <w:pStyle w:val="12"/>
              <w:spacing w:before="14" w:line="360" w:lineRule="auto"/>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④反应过程控制：控制温度和时间参数；</w:t>
            </w:r>
          </w:p>
          <w:p>
            <w:pPr>
              <w:pStyle w:val="12"/>
              <w:numPr>
                <w:ilvl w:val="0"/>
                <w:numId w:val="2"/>
              </w:numPr>
              <w:spacing w:before="14" w:line="360" w:lineRule="auto"/>
              <w:ind w:left="111"/>
              <w:rPr>
                <w:rFonts w:hint="eastAsia" w:ascii="仿宋_GB2312" w:hAnsi="仿宋_GB2312" w:eastAsia="仿宋_GB2312" w:cs="仿宋_GB2312"/>
                <w:bCs/>
                <w:sz w:val="28"/>
                <w:szCs w:val="28"/>
                <w:lang w:eastAsia="zh-CN"/>
              </w:rPr>
            </w:pPr>
            <w:r>
              <w:rPr>
                <w:rFonts w:hint="eastAsia" w:ascii="仿宋_GB2312" w:hAnsi="仿宋_GB2312" w:eastAsia="仿宋_GB2312" w:cs="仿宋_GB2312"/>
                <w:spacing w:val="7"/>
                <w:sz w:val="28"/>
                <w:szCs w:val="28"/>
                <w:lang w:eastAsia="zh-CN"/>
              </w:rPr>
              <w:t>R-</w:t>
            </w:r>
            <w:r>
              <w:rPr>
                <w:rFonts w:hint="eastAsia" w:ascii="仿宋_GB2312" w:hAnsi="仿宋_GB2312" w:eastAsia="仿宋_GB2312" w:cs="仿宋_GB2312"/>
                <w:bCs/>
                <w:sz w:val="28"/>
                <w:szCs w:val="28"/>
                <w:lang w:eastAsia="zh-CN"/>
              </w:rPr>
              <w:t>缩水甘油制备</w:t>
            </w:r>
          </w:p>
          <w:p>
            <w:pPr>
              <w:pStyle w:val="12"/>
              <w:spacing w:before="14" w:line="360" w:lineRule="auto"/>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①反应过程控制：控制温度参数；</w:t>
            </w:r>
          </w:p>
          <w:p>
            <w:pPr>
              <w:pStyle w:val="12"/>
              <w:numPr>
                <w:ilvl w:val="0"/>
                <w:numId w:val="2"/>
              </w:numPr>
              <w:spacing w:before="14" w:line="360" w:lineRule="auto"/>
              <w:ind w:left="111"/>
              <w:rPr>
                <w:rFonts w:hint="eastAsia" w:ascii="仿宋_GB2312" w:hAnsi="仿宋_GB2312" w:eastAsia="仿宋_GB2312" w:cs="仿宋_GB2312"/>
                <w:bCs/>
                <w:sz w:val="28"/>
                <w:szCs w:val="28"/>
                <w:lang w:eastAsia="zh-CN"/>
              </w:rPr>
            </w:pPr>
            <w:r>
              <w:rPr>
                <w:rFonts w:hint="eastAsia" w:ascii="仿宋_GB2312" w:hAnsi="仿宋_GB2312" w:eastAsia="仿宋_GB2312" w:cs="仿宋_GB2312"/>
                <w:spacing w:val="7"/>
                <w:sz w:val="28"/>
                <w:szCs w:val="28"/>
                <w:lang w:eastAsia="zh-CN"/>
              </w:rPr>
              <w:t>L-α-甘磷酸胆碱制备</w:t>
            </w:r>
          </w:p>
          <w:p>
            <w:pPr>
              <w:pStyle w:val="12"/>
              <w:spacing w:before="14" w:line="360" w:lineRule="auto"/>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①</w:t>
            </w:r>
            <w:bookmarkStart w:id="24" w:name="OLE_LINK13"/>
            <w:r>
              <w:rPr>
                <w:rFonts w:hint="eastAsia" w:ascii="仿宋_GB2312" w:hAnsi="仿宋_GB2312" w:eastAsia="仿宋_GB2312" w:cs="仿宋_GB2312"/>
                <w:bCs/>
                <w:sz w:val="28"/>
                <w:szCs w:val="28"/>
                <w:lang w:eastAsia="zh-CN"/>
              </w:rPr>
              <w:t>反应过程控制：控制温度参数</w:t>
            </w:r>
            <w:bookmarkEnd w:id="24"/>
            <w:r>
              <w:rPr>
                <w:rFonts w:hint="eastAsia" w:ascii="仿宋_GB2312" w:hAnsi="仿宋_GB2312" w:eastAsia="仿宋_GB2312" w:cs="仿宋_GB2312"/>
                <w:bCs/>
                <w:sz w:val="28"/>
                <w:szCs w:val="28"/>
                <w:lang w:eastAsia="zh-CN"/>
              </w:rPr>
              <w:t>；</w:t>
            </w:r>
          </w:p>
          <w:p>
            <w:pPr>
              <w:pStyle w:val="12"/>
              <w:numPr>
                <w:ilvl w:val="0"/>
                <w:numId w:val="2"/>
              </w:numPr>
              <w:spacing w:before="14" w:line="360" w:lineRule="auto"/>
              <w:ind w:left="111"/>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精制：</w:t>
            </w:r>
          </w:p>
          <w:p>
            <w:pPr>
              <w:pStyle w:val="12"/>
              <w:spacing w:before="14" w:line="360" w:lineRule="auto"/>
              <w:rPr>
                <w:rFonts w:hint="eastAsia" w:ascii="仿宋_GB2312" w:hAnsi="仿宋_GB2312" w:eastAsia="仿宋_GB2312" w:cs="仿宋_GB2312"/>
                <w:bCs/>
                <w:sz w:val="28"/>
                <w:szCs w:val="28"/>
                <w:lang w:eastAsia="zh-CN"/>
              </w:rPr>
            </w:pPr>
            <w:bookmarkStart w:id="25" w:name="OLE_LINK15"/>
            <w:r>
              <w:rPr>
                <w:rFonts w:hint="eastAsia" w:ascii="仿宋_GB2312" w:hAnsi="仿宋_GB2312" w:eastAsia="仿宋_GB2312" w:cs="仿宋_GB2312"/>
                <w:bCs/>
                <w:sz w:val="28"/>
                <w:szCs w:val="28"/>
                <w:lang w:eastAsia="zh-CN"/>
              </w:rPr>
              <w:t>①洁净厂房/环境污染，环境控制要求具体见第十三条；</w:t>
            </w:r>
          </w:p>
          <w:p>
            <w:pPr>
              <w:pStyle w:val="12"/>
              <w:spacing w:before="14" w:line="360" w:lineRule="auto"/>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②环境微生物控制：要求具体见第十八条；</w:t>
            </w:r>
            <w:bookmarkStart w:id="26" w:name="OLE_LINK14"/>
          </w:p>
          <w:p>
            <w:pPr>
              <w:pStyle w:val="12"/>
              <w:spacing w:before="14" w:line="360" w:lineRule="auto"/>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③反应过程控制：后期控制温度</w:t>
            </w:r>
            <w:bookmarkEnd w:id="26"/>
            <w:r>
              <w:rPr>
                <w:rFonts w:hint="eastAsia" w:ascii="仿宋_GB2312" w:hAnsi="仿宋_GB2312" w:eastAsia="仿宋_GB2312" w:cs="仿宋_GB2312"/>
                <w:bCs/>
                <w:sz w:val="28"/>
                <w:szCs w:val="28"/>
                <w:lang w:eastAsia="zh-CN"/>
              </w:rPr>
              <w:t>参数；</w:t>
            </w:r>
          </w:p>
          <w:bookmarkEnd w:id="25"/>
          <w:p>
            <w:pPr>
              <w:pStyle w:val="12"/>
              <w:numPr>
                <w:ilvl w:val="0"/>
                <w:numId w:val="2"/>
              </w:numPr>
              <w:spacing w:before="14" w:line="360" w:lineRule="auto"/>
              <w:ind w:left="111"/>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干燥</w:t>
            </w:r>
          </w:p>
          <w:p>
            <w:pPr>
              <w:pStyle w:val="12"/>
              <w:spacing w:before="14" w:line="360" w:lineRule="auto"/>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①洁净厂房/环境污染，环境控制要求具体见第十三条；</w:t>
            </w:r>
          </w:p>
          <w:p>
            <w:pPr>
              <w:pStyle w:val="12"/>
              <w:spacing w:before="14" w:line="360" w:lineRule="auto"/>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②环境微生物控制：要求具体见第十八条；</w:t>
            </w:r>
          </w:p>
          <w:p>
            <w:pPr>
              <w:pStyle w:val="12"/>
              <w:numPr>
                <w:ilvl w:val="0"/>
                <w:numId w:val="2"/>
              </w:numPr>
              <w:spacing w:before="14" w:line="360" w:lineRule="auto"/>
              <w:ind w:left="111"/>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包装：</w:t>
            </w:r>
          </w:p>
          <w:p>
            <w:pPr>
              <w:pStyle w:val="12"/>
              <w:spacing w:before="14" w:line="360" w:lineRule="auto"/>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①包装重量控制、包装密封性控制，包装室的温湿度要求具体见第十三条；</w:t>
            </w:r>
          </w:p>
        </w:tc>
      </w:tr>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013" w:hRule="atLeast"/>
        </w:trPr>
        <w:tc>
          <w:tcPr>
            <w:tcW w:w="8848" w:type="dxa"/>
            <w:gridSpan w:val="3"/>
            <w:tcBorders>
              <w:top w:val="single" w:color="auto" w:sz="4" w:space="0"/>
              <w:left w:val="single" w:color="auto" w:sz="4" w:space="0"/>
              <w:bottom w:val="single" w:color="auto" w:sz="4" w:space="0"/>
              <w:right w:val="single" w:color="auto" w:sz="4" w:space="0"/>
            </w:tcBorders>
          </w:tcPr>
          <w:p>
            <w:pPr>
              <w:pStyle w:val="12"/>
              <w:spacing w:before="99" w:line="360" w:lineRule="auto"/>
              <w:ind w:right="108"/>
              <w:rPr>
                <w:rFonts w:hint="eastAsia" w:ascii="仿宋_GB2312" w:hAnsi="仿宋_GB2312" w:eastAsia="仿宋_GB2312" w:cs="仿宋_GB2312"/>
                <w:sz w:val="28"/>
                <w:szCs w:val="28"/>
                <w:lang w:eastAsia="zh-CN"/>
              </w:rPr>
            </w:pPr>
            <w:bookmarkStart w:id="27" w:name="OLE_LINK50"/>
            <w:r>
              <w:rPr>
                <w:rFonts w:hint="eastAsia" w:ascii="仿宋_GB2312" w:hAnsi="仿宋_GB2312" w:eastAsia="仿宋_GB2312" w:cs="仿宋_GB2312"/>
                <w:spacing w:val="6"/>
                <w:sz w:val="28"/>
                <w:szCs w:val="28"/>
                <w:lang w:eastAsia="zh-CN"/>
              </w:rPr>
              <w:t>注： 本表所列新食品原料 L-α-甘磷酸胆碱产品生产常规工艺流程与关键控制环节仅做参考，企业可根据实际生产情况优化调整。</w:t>
            </w:r>
            <w:bookmarkEnd w:id="27"/>
          </w:p>
        </w:tc>
      </w:tr>
    </w:tbl>
    <w:p>
      <w:pPr>
        <w:tabs>
          <w:tab w:val="left" w:pos="0"/>
        </w:tabs>
        <w:spacing w:before="158" w:line="360" w:lineRule="auto"/>
        <w:ind w:left="630" w:right="85"/>
        <w:jc w:val="both"/>
        <w:rPr>
          <w:rFonts w:ascii="宋体" w:cs="Times New Roman"/>
          <w:spacing w:val="9"/>
          <w:sz w:val="28"/>
          <w:szCs w:val="28"/>
          <w:lang w:eastAsia="zh-CN"/>
        </w:rPr>
      </w:pP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应通过危害分析方法明确生产过程中的食品安全关键环节，制定产品配方、工艺规程等工艺文件，并设立相应的控制措施。</w:t>
      </w:r>
      <w:r>
        <w:rPr>
          <w:rFonts w:ascii="宋体" w:cs="Times New Roman"/>
          <w:spacing w:val="9"/>
          <w:sz w:val="28"/>
          <w:szCs w:val="28"/>
          <w:lang w:eastAsia="zh-CN"/>
        </w:rPr>
        <w:tab/>
      </w:r>
      <w:r>
        <w:rPr>
          <w:rFonts w:ascii="宋体" w:hAnsi="宋体" w:cs="Times New Roman"/>
          <w:spacing w:val="9"/>
          <w:sz w:val="28"/>
          <w:szCs w:val="28"/>
          <w:lang w:eastAsia="zh-CN"/>
        </w:rPr>
        <w:t xml:space="preserve"> </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内包装材料应脱去外包装，</w:t>
      </w:r>
      <w:r>
        <w:rPr>
          <w:rFonts w:hint="eastAsia" w:ascii="宋体" w:hAnsi="宋体" w:cs="Times New Roman"/>
          <w:color w:val="000000" w:themeColor="text1"/>
          <w:spacing w:val="9"/>
          <w:sz w:val="28"/>
          <w:szCs w:val="28"/>
          <w:lang w:eastAsia="zh-CN"/>
        </w:rPr>
        <w:t>经物流缓冲或</w:t>
      </w:r>
      <w:r>
        <w:rPr>
          <w:rFonts w:hint="eastAsia" w:ascii="宋体" w:hAnsi="宋体" w:cs="Times New Roman"/>
          <w:spacing w:val="9"/>
          <w:sz w:val="28"/>
          <w:szCs w:val="28"/>
          <w:lang w:eastAsia="zh-CN"/>
        </w:rPr>
        <w:t>等效设施（如传递窗）消毒后，方可进入清洁工作区域。</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密封包装产品应封口紧密，无渗漏、无破损。</w:t>
      </w:r>
    </w:p>
    <w:p>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ascii="宋体" w:cs="Times New Roman"/>
          <w:sz w:val="28"/>
          <w:szCs w:val="28"/>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3162"/>
        <w:textAlignment w:val="baseline"/>
        <w:rPr>
          <w:rFonts w:hint="eastAsia" w:ascii="方正小标宋简体" w:hAnsi="方正小标宋简体" w:eastAsia="方正小标宋简体" w:cs="方正小标宋简体"/>
          <w:b w:val="0"/>
          <w:bCs w:val="0"/>
          <w:sz w:val="32"/>
          <w:szCs w:val="32"/>
          <w:lang w:eastAsia="zh-CN"/>
        </w:rPr>
      </w:pPr>
      <w:r>
        <w:rPr>
          <w:rFonts w:hint="eastAsia" w:ascii="方正小标宋简体" w:hAnsi="方正小标宋简体" w:eastAsia="方正小标宋简体" w:cs="方正小标宋简体"/>
          <w:b w:val="0"/>
          <w:bCs w:val="0"/>
          <w:spacing w:val="7"/>
          <w:position w:val="1"/>
          <w:sz w:val="32"/>
          <w:szCs w:val="32"/>
          <w:lang w:eastAsia="zh-CN"/>
        </w:rPr>
        <w:t>第五章  人员管理核查</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100" w:right="85" w:firstLine="628" w:firstLineChars="211"/>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应符合《食品生产许可审查通则》中人员管理的相关规定。</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210" w:leftChars="100" w:right="95" w:firstLine="611" w:firstLineChars="211"/>
        <w:jc w:val="both"/>
        <w:textAlignment w:val="baseline"/>
        <w:rPr>
          <w:rFonts w:ascii="宋体" w:cs="Times New Roman"/>
          <w:spacing w:val="7"/>
          <w:sz w:val="28"/>
          <w:szCs w:val="28"/>
          <w:lang w:eastAsia="zh-CN"/>
        </w:rPr>
      </w:pPr>
      <w:r>
        <w:rPr>
          <w:rFonts w:hint="eastAsia" w:ascii="宋体" w:hAnsi="宋体" w:cs="Times New Roman"/>
          <w:spacing w:val="5"/>
          <w:sz w:val="28"/>
          <w:szCs w:val="28"/>
          <w:lang w:eastAsia="zh-CN"/>
        </w:rPr>
        <w:t>应依法配备食品安全管理人员和食品安全专业技术人员。企业主要负责人、食品安全总监、食品安全员应符合《企业落实食品安全主体责任监督管理规定》。食品安全管理人员应了解食品安全的基本原则和操作规范，能够判断食品安全潜</w:t>
      </w:r>
      <w:r>
        <w:rPr>
          <w:rFonts w:hint="eastAsia" w:ascii="宋体" w:hAnsi="宋体" w:cs="Times New Roman"/>
          <w:spacing w:val="7"/>
          <w:sz w:val="28"/>
          <w:szCs w:val="28"/>
          <w:lang w:eastAsia="zh-CN"/>
        </w:rPr>
        <w:t>在的风险，采取适当的预防和纠正措施，确保有效管理。</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100" w:right="85" w:firstLine="628" w:firstLineChars="211"/>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应对本企业的</w:t>
      </w:r>
      <w:r>
        <w:rPr>
          <w:rFonts w:hint="eastAsia" w:ascii="宋体" w:hAnsi="宋体" w:cs="Times New Roman"/>
          <w:spacing w:val="9"/>
          <w:sz w:val="28"/>
          <w:szCs w:val="28"/>
          <w:lang w:val="en-US" w:eastAsia="zh-CN"/>
        </w:rPr>
        <w:t>食品</w:t>
      </w:r>
      <w:r>
        <w:rPr>
          <w:rFonts w:hint="eastAsia" w:ascii="宋体" w:hAnsi="宋体" w:cs="Times New Roman"/>
          <w:spacing w:val="9"/>
          <w:sz w:val="28"/>
          <w:szCs w:val="28"/>
          <w:lang w:eastAsia="zh-CN"/>
        </w:rPr>
        <w:t>从业人员进行上岗前和在岗期间的食品安全知识培训，并建立培训档案。应对食品安全管理人员、关键环节操作人员及其他相关从业人员进行考核。考核不合格的，不得上岗。</w:t>
      </w:r>
    </w:p>
    <w:p>
      <w:pPr>
        <w:keepNext w:val="0"/>
        <w:keepLines w:val="0"/>
        <w:pageBreakBefore w:val="0"/>
        <w:widowControl/>
        <w:tabs>
          <w:tab w:val="left" w:pos="0"/>
        </w:tabs>
        <w:kinsoku w:val="0"/>
        <w:wordWrap/>
        <w:overflowPunct/>
        <w:topLinePunct w:val="0"/>
        <w:autoSpaceDE w:val="0"/>
        <w:autoSpaceDN w:val="0"/>
        <w:bidi w:val="0"/>
        <w:adjustRightInd w:val="0"/>
        <w:snapToGrid w:val="0"/>
        <w:spacing w:line="560" w:lineRule="exact"/>
        <w:ind w:left="630" w:right="85"/>
        <w:jc w:val="both"/>
        <w:textAlignment w:val="baseline"/>
        <w:rPr>
          <w:rFonts w:ascii="宋体" w:cs="Times New Roman"/>
          <w:spacing w:val="9"/>
          <w:sz w:val="28"/>
          <w:szCs w:val="28"/>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3162"/>
        <w:textAlignment w:val="baseline"/>
        <w:rPr>
          <w:rFonts w:hint="eastAsia" w:ascii="黑体" w:hAnsi="黑体" w:eastAsia="黑体" w:cs="黑体"/>
          <w:b w:val="0"/>
          <w:bCs w:val="0"/>
          <w:sz w:val="32"/>
          <w:szCs w:val="32"/>
          <w:lang w:eastAsia="zh-CN"/>
        </w:rPr>
      </w:pPr>
      <w:r>
        <w:rPr>
          <w:rFonts w:hint="eastAsia" w:ascii="黑体" w:hAnsi="黑体" w:eastAsia="黑体" w:cs="黑体"/>
          <w:b w:val="0"/>
          <w:bCs w:val="0"/>
          <w:spacing w:val="5"/>
          <w:position w:val="1"/>
          <w:sz w:val="32"/>
          <w:szCs w:val="32"/>
          <w:lang w:eastAsia="zh-CN"/>
        </w:rPr>
        <w:t>第六章</w:t>
      </w:r>
      <w:r>
        <w:rPr>
          <w:rFonts w:hint="eastAsia" w:ascii="黑体" w:hAnsi="黑体" w:eastAsia="黑体" w:cs="黑体"/>
          <w:b w:val="0"/>
          <w:bCs w:val="0"/>
          <w:spacing w:val="14"/>
          <w:position w:val="1"/>
          <w:sz w:val="32"/>
          <w:szCs w:val="32"/>
          <w:lang w:eastAsia="zh-CN"/>
        </w:rPr>
        <w:t xml:space="preserve">  </w:t>
      </w:r>
      <w:r>
        <w:rPr>
          <w:rFonts w:hint="eastAsia" w:ascii="黑体" w:hAnsi="黑体" w:eastAsia="黑体" w:cs="黑体"/>
          <w:b w:val="0"/>
          <w:bCs w:val="0"/>
          <w:spacing w:val="5"/>
          <w:position w:val="1"/>
          <w:sz w:val="32"/>
          <w:szCs w:val="32"/>
          <w:lang w:eastAsia="zh-CN"/>
        </w:rPr>
        <w:t>管理制度核查</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应符合《食品生产许可审查通则》中制度管理的相关规定。</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建立食品、食品添加剂和食品相关产品采购管理制度，保证采购的食品、食品添加剂和食品相关产品符合国家法律法规和食品安全标准要求，不得采购法律法规禁止生产经营的食品、食品添加剂和食品相关产品，以及未通过国务院卫生行政部门安全性评估的新的食品原料、食品添加剂新品种、食品相关产品新品种。</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建立原料供应商审核制度，定期对主要原料供应商进行评价、考核，确定合格供应商名单。具备条件的可前往供应商处现场开展评价、考核。发现原料存在严重食品安全问题的，应立即停止采购，并向本企业、主要原料供应商所在地的食品安全监督管理部门报告。</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bookmarkStart w:id="28" w:name="OLE_LINK18"/>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建立生产过程监控管理制度。应结合生产工艺及产品特点制定食品原料、加工环境、加工过程和成品检验监控规范，监控具体要求可参照表</w:t>
      </w:r>
      <w:r>
        <w:rPr>
          <w:rFonts w:ascii="宋体" w:hAnsi="宋体" w:cs="Times New Roman"/>
          <w:spacing w:val="9"/>
          <w:sz w:val="28"/>
          <w:szCs w:val="28"/>
          <w:lang w:eastAsia="zh-CN"/>
        </w:rPr>
        <w:t>2</w:t>
      </w:r>
      <w:r>
        <w:rPr>
          <w:rFonts w:hint="eastAsia" w:ascii="宋体" w:hAnsi="宋体" w:cs="Times New Roman"/>
          <w:spacing w:val="9"/>
          <w:sz w:val="28"/>
          <w:szCs w:val="28"/>
          <w:lang w:eastAsia="zh-CN"/>
        </w:rPr>
        <w:t>、表</w:t>
      </w:r>
      <w:r>
        <w:rPr>
          <w:rFonts w:ascii="宋体" w:hAnsi="宋体" w:cs="Times New Roman"/>
          <w:spacing w:val="9"/>
          <w:sz w:val="28"/>
          <w:szCs w:val="28"/>
          <w:lang w:eastAsia="zh-CN"/>
        </w:rPr>
        <w:t>3</w:t>
      </w:r>
      <w:r>
        <w:rPr>
          <w:rFonts w:hint="eastAsia" w:ascii="宋体" w:hAnsi="宋体" w:cs="Times New Roman"/>
          <w:spacing w:val="9"/>
          <w:sz w:val="28"/>
          <w:szCs w:val="28"/>
          <w:lang w:eastAsia="zh-CN"/>
        </w:rPr>
        <w:t>、表</w:t>
      </w:r>
      <w:r>
        <w:rPr>
          <w:rFonts w:ascii="宋体" w:hAnsi="宋体" w:cs="Times New Roman"/>
          <w:spacing w:val="9"/>
          <w:sz w:val="28"/>
          <w:szCs w:val="28"/>
          <w:lang w:eastAsia="zh-CN"/>
        </w:rPr>
        <w:t>6</w:t>
      </w:r>
      <w:r>
        <w:rPr>
          <w:rFonts w:hint="eastAsia" w:ascii="宋体" w:hAnsi="宋体" w:cs="Times New Roman"/>
          <w:spacing w:val="9"/>
          <w:sz w:val="28"/>
          <w:szCs w:val="28"/>
          <w:lang w:eastAsia="zh-CN"/>
        </w:rPr>
        <w:t>和附件。对监控发现的问题，应立即采取措施予以纠正，并对发现的问题和处置结果予以记录。</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应建立清洁消毒制度，制定清洁消毒程序，以保证加工场所、设备和设施等清洁卫生，防止产品污染。</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建立产品出厂检验管理制度。严格执行食品安全标准，相关产品没有食品安全标准的，企业应依法制定企业标准。综合考虑产品特性、工艺特点、原料控制等因素，明确出厂检验项目、批次、频次和检验要求。</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产品出厂检验可自行检验，也可委托具有检验资质的第三方检测机构进行检验。</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新食品原料</w:t>
      </w:r>
      <w:r>
        <w:rPr>
          <w:rFonts w:ascii="宋体" w:hAnsi="宋体" w:cs="Times New Roman"/>
          <w:spacing w:val="9"/>
          <w:sz w:val="28"/>
          <w:szCs w:val="28"/>
          <w:lang w:eastAsia="zh-CN"/>
        </w:rPr>
        <w:t xml:space="preserve"> L-</w:t>
      </w:r>
      <w:r>
        <w:rPr>
          <w:rFonts w:hint="eastAsia" w:ascii="宋体" w:hAnsi="宋体" w:cs="Times New Roman"/>
          <w:spacing w:val="9"/>
          <w:sz w:val="28"/>
          <w:szCs w:val="28"/>
          <w:lang w:eastAsia="zh-CN"/>
        </w:rPr>
        <w:t>α</w:t>
      </w:r>
      <w:r>
        <w:rPr>
          <w:rFonts w:ascii="宋体" w:cs="Times New Roman"/>
          <w:spacing w:val="9"/>
          <w:sz w:val="28"/>
          <w:szCs w:val="28"/>
          <w:lang w:eastAsia="zh-CN"/>
        </w:rPr>
        <w:t>-</w:t>
      </w:r>
      <w:r>
        <w:rPr>
          <w:rFonts w:hint="eastAsia" w:ascii="宋体" w:hAnsi="宋体" w:cs="Times New Roman"/>
          <w:spacing w:val="9"/>
          <w:sz w:val="28"/>
          <w:szCs w:val="28"/>
          <w:lang w:eastAsia="zh-CN"/>
        </w:rPr>
        <w:t>甘磷酸胆碱应当进行稳定性试验，确定保质期。</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建立食品安全追溯管理制度。鼓励企业采用包装上印制二维码等技术集成食品原料来源、产品自检等信息供消费者查询。鼓励企业采用电子计算机信息技术系统和手段进行文件和记录的管理。</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0" w:right="85" w:firstLine="630" w:firstLineChars="0"/>
        <w:jc w:val="both"/>
        <w:textAlignment w:val="baseline"/>
        <w:rPr>
          <w:rFonts w:ascii="宋体" w:cs="Times New Roman"/>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鼓励建立和实施生产、配送的危害分析与关键控制点等食品安全管理体系进行食品安全控制。</w:t>
      </w:r>
      <w:bookmarkEnd w:id="28"/>
    </w:p>
    <w:p>
      <w:pPr>
        <w:keepNext w:val="0"/>
        <w:keepLines w:val="0"/>
        <w:pageBreakBefore w:val="0"/>
        <w:widowControl/>
        <w:kinsoku w:val="0"/>
        <w:wordWrap/>
        <w:overflowPunct/>
        <w:topLinePunct w:val="0"/>
        <w:autoSpaceDE w:val="0"/>
        <w:autoSpaceDN w:val="0"/>
        <w:bidi w:val="0"/>
        <w:adjustRightInd w:val="0"/>
        <w:snapToGrid w:val="0"/>
        <w:spacing w:line="560" w:lineRule="exact"/>
        <w:ind w:left="2512"/>
        <w:textAlignment w:val="baseline"/>
        <w:rPr>
          <w:rFonts w:hint="eastAsia" w:ascii="黑体" w:hAnsi="黑体" w:eastAsia="黑体" w:cs="黑体"/>
          <w:b w:val="0"/>
          <w:bCs w:val="0"/>
          <w:sz w:val="32"/>
          <w:szCs w:val="32"/>
          <w:lang w:eastAsia="zh-CN"/>
        </w:rPr>
      </w:pPr>
      <w:r>
        <w:rPr>
          <w:rFonts w:hint="eastAsia" w:ascii="黑体" w:hAnsi="黑体" w:eastAsia="黑体" w:cs="黑体"/>
          <w:b w:val="0"/>
          <w:bCs w:val="0"/>
          <w:spacing w:val="7"/>
          <w:position w:val="1"/>
          <w:sz w:val="32"/>
          <w:szCs w:val="32"/>
          <w:lang w:eastAsia="zh-CN"/>
        </w:rPr>
        <w:t>第七章  试制产品检验报告</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100" w:right="85" w:firstLine="628" w:firstLineChars="211"/>
        <w:jc w:val="both"/>
        <w:textAlignment w:val="baseline"/>
        <w:rPr>
          <w:rFonts w:ascii="宋体" w:cs="Times New Roman"/>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企业按照所申报新食品原料</w:t>
      </w:r>
      <w:r>
        <w:rPr>
          <w:rFonts w:ascii="宋体" w:hAnsi="宋体" w:cs="Times New Roman"/>
          <w:spacing w:val="9"/>
          <w:sz w:val="28"/>
          <w:szCs w:val="28"/>
          <w:lang w:eastAsia="zh-CN"/>
        </w:rPr>
        <w:t xml:space="preserve"> L-</w:t>
      </w:r>
      <w:r>
        <w:rPr>
          <w:rFonts w:hint="eastAsia" w:ascii="宋体" w:hAnsi="宋体" w:cs="Times New Roman"/>
          <w:spacing w:val="9"/>
          <w:sz w:val="28"/>
          <w:szCs w:val="28"/>
          <w:lang w:eastAsia="zh-CN"/>
        </w:rPr>
        <w:t>α</w:t>
      </w:r>
      <w:r>
        <w:rPr>
          <w:rFonts w:ascii="宋体" w:cs="Times New Roman"/>
          <w:spacing w:val="9"/>
          <w:sz w:val="28"/>
          <w:szCs w:val="28"/>
          <w:lang w:eastAsia="zh-CN"/>
        </w:rPr>
        <w:t>-</w:t>
      </w:r>
      <w:r>
        <w:rPr>
          <w:rFonts w:hint="eastAsia" w:ascii="宋体" w:hAnsi="宋体" w:cs="Times New Roman"/>
          <w:spacing w:val="9"/>
          <w:sz w:val="28"/>
          <w:szCs w:val="28"/>
          <w:lang w:eastAsia="zh-CN"/>
        </w:rPr>
        <w:t>甘磷酸胆碱执行标准，提供试制产品检验合格报告。试制产品检验可以由生产者自行检验，或者委托有资质的食品检验机构检验，企业应对提供的检验报告真实性负责。</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210" w:leftChars="100" w:firstLine="666" w:firstLineChars="211"/>
        <w:jc w:val="center"/>
        <w:textAlignment w:val="baseline"/>
        <w:rPr>
          <w:rFonts w:hint="eastAsia" w:ascii="黑体" w:hAnsi="黑体" w:eastAsia="黑体" w:cs="黑体"/>
          <w:b w:val="0"/>
          <w:bCs w:val="0"/>
          <w:sz w:val="32"/>
          <w:szCs w:val="32"/>
          <w:lang w:eastAsia="zh-CN"/>
        </w:rPr>
      </w:pPr>
      <w:r>
        <w:rPr>
          <w:rFonts w:hint="eastAsia" w:ascii="黑体" w:hAnsi="黑体" w:eastAsia="黑体" w:cs="黑体"/>
          <w:b w:val="0"/>
          <w:bCs w:val="0"/>
          <w:spacing w:val="-2"/>
          <w:position w:val="1"/>
          <w:sz w:val="32"/>
          <w:szCs w:val="32"/>
          <w:lang w:eastAsia="zh-CN"/>
        </w:rPr>
        <w:t>第八章</w:t>
      </w:r>
      <w:r>
        <w:rPr>
          <w:rFonts w:hint="eastAsia" w:ascii="黑体" w:hAnsi="黑体" w:eastAsia="黑体" w:cs="黑体"/>
          <w:b w:val="0"/>
          <w:bCs w:val="0"/>
          <w:spacing w:val="20"/>
          <w:position w:val="1"/>
          <w:sz w:val="32"/>
          <w:szCs w:val="32"/>
          <w:lang w:eastAsia="zh-CN"/>
        </w:rPr>
        <w:t xml:space="preserve">  </w:t>
      </w:r>
      <w:r>
        <w:rPr>
          <w:rFonts w:hint="eastAsia" w:ascii="黑体" w:hAnsi="黑体" w:eastAsia="黑体" w:cs="黑体"/>
          <w:b w:val="0"/>
          <w:bCs w:val="0"/>
          <w:spacing w:val="-2"/>
          <w:position w:val="1"/>
          <w:sz w:val="32"/>
          <w:szCs w:val="32"/>
          <w:lang w:eastAsia="zh-CN"/>
        </w:rPr>
        <w:t>附</w:t>
      </w:r>
      <w:r>
        <w:rPr>
          <w:rFonts w:hint="eastAsia" w:ascii="黑体" w:hAnsi="黑体" w:eastAsia="黑体" w:cs="黑体"/>
          <w:b w:val="0"/>
          <w:bCs w:val="0"/>
          <w:spacing w:val="11"/>
          <w:position w:val="1"/>
          <w:sz w:val="32"/>
          <w:szCs w:val="32"/>
          <w:lang w:eastAsia="zh-CN"/>
        </w:rPr>
        <w:t xml:space="preserve">  </w:t>
      </w:r>
      <w:r>
        <w:rPr>
          <w:rFonts w:hint="eastAsia" w:ascii="黑体" w:hAnsi="黑体" w:eastAsia="黑体" w:cs="黑体"/>
          <w:b w:val="0"/>
          <w:bCs w:val="0"/>
          <w:spacing w:val="-2"/>
          <w:position w:val="1"/>
          <w:sz w:val="32"/>
          <w:szCs w:val="32"/>
          <w:lang w:eastAsia="zh-CN"/>
        </w:rPr>
        <w:t>则</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100" w:right="85" w:firstLine="628" w:firstLineChars="211"/>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本方案由东洲区市场监督管理局负责解释。</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210" w:leftChars="100" w:right="85" w:firstLine="628" w:firstLineChars="211"/>
        <w:jc w:val="both"/>
        <w:textAlignment w:val="baseline"/>
        <w:rPr>
          <w:rFonts w:ascii="宋体" w:cs="Times New Roman"/>
          <w:spacing w:val="9"/>
          <w:sz w:val="28"/>
          <w:szCs w:val="28"/>
          <w:lang w:eastAsia="zh-CN"/>
        </w:rPr>
      </w:pPr>
      <w:r>
        <w:rPr>
          <w:rFonts w:ascii="宋体" w:hAnsi="宋体" w:cs="Times New Roman"/>
          <w:spacing w:val="9"/>
          <w:sz w:val="28"/>
          <w:szCs w:val="28"/>
          <w:lang w:eastAsia="zh-CN"/>
        </w:rPr>
        <w:t xml:space="preserve"> </w:t>
      </w:r>
      <w:r>
        <w:rPr>
          <w:rFonts w:hint="eastAsia" w:ascii="宋体" w:hAnsi="宋体" w:cs="Times New Roman"/>
          <w:spacing w:val="9"/>
          <w:sz w:val="28"/>
          <w:szCs w:val="28"/>
          <w:lang w:eastAsia="zh-CN"/>
        </w:rPr>
        <w:t>本方案自发布之日起实施，有效期为</w:t>
      </w:r>
      <w:r>
        <w:rPr>
          <w:rFonts w:ascii="宋体" w:hAnsi="宋体" w:cs="Times New Roman"/>
          <w:spacing w:val="9"/>
          <w:sz w:val="28"/>
          <w:szCs w:val="28"/>
          <w:lang w:eastAsia="zh-CN"/>
        </w:rPr>
        <w:t>5</w:t>
      </w:r>
      <w:r>
        <w:rPr>
          <w:rFonts w:hint="eastAsia" w:ascii="宋体" w:hAnsi="宋体" w:cs="Times New Roman"/>
          <w:spacing w:val="9"/>
          <w:sz w:val="28"/>
          <w:szCs w:val="28"/>
          <w:lang w:eastAsia="zh-CN"/>
        </w:rPr>
        <w:t>年。</w:t>
      </w:r>
    </w:p>
    <w:p>
      <w:pPr>
        <w:pStyle w:val="3"/>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ascii="宋体" w:cs="Times New Roman"/>
          <w:sz w:val="28"/>
          <w:szCs w:val="28"/>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right="2" w:firstLine="578" w:firstLineChars="201"/>
        <w:textAlignment w:val="baseline"/>
        <w:rPr>
          <w:rFonts w:ascii="宋体" w:cs="Times New Roman"/>
          <w:spacing w:val="4"/>
          <w:sz w:val="28"/>
          <w:szCs w:val="28"/>
          <w:lang w:eastAsia="zh-CN"/>
        </w:rPr>
      </w:pPr>
      <w:r>
        <w:rPr>
          <w:rFonts w:hint="eastAsia" w:ascii="宋体" w:hAnsi="宋体" w:cs="Times New Roman"/>
          <w:spacing w:val="4"/>
          <w:sz w:val="28"/>
          <w:szCs w:val="28"/>
          <w:lang w:eastAsia="zh-CN"/>
        </w:rPr>
        <w:t>附件：</w:t>
      </w:r>
      <w:r>
        <w:rPr>
          <w:rFonts w:ascii="宋体" w:hAnsi="宋体" w:cs="Times New Roman"/>
          <w:spacing w:val="4"/>
          <w:sz w:val="28"/>
          <w:szCs w:val="28"/>
          <w:lang w:eastAsia="zh-CN"/>
        </w:rPr>
        <w:t>1.</w:t>
      </w:r>
      <w:r>
        <w:rPr>
          <w:rFonts w:hint="eastAsia" w:ascii="宋体" w:hAnsi="宋体" w:cs="Times New Roman"/>
          <w:spacing w:val="4"/>
          <w:sz w:val="28"/>
          <w:szCs w:val="28"/>
          <w:lang w:eastAsia="zh-CN"/>
        </w:rPr>
        <w:t>新食品原料</w:t>
      </w:r>
      <w:r>
        <w:rPr>
          <w:rFonts w:ascii="宋体" w:hAnsi="宋体" w:cs="Times New Roman"/>
          <w:spacing w:val="4"/>
          <w:sz w:val="28"/>
          <w:szCs w:val="28"/>
          <w:lang w:eastAsia="zh-CN"/>
        </w:rPr>
        <w:t xml:space="preserve"> </w:t>
      </w:r>
      <w:r>
        <w:rPr>
          <w:rFonts w:ascii="宋体" w:hAnsi="宋体" w:cs="Times New Roman"/>
          <w:spacing w:val="5"/>
          <w:sz w:val="28"/>
          <w:szCs w:val="28"/>
          <w:lang w:eastAsia="zh-CN"/>
        </w:rPr>
        <w:t>L-</w:t>
      </w:r>
      <w:r>
        <w:rPr>
          <w:rFonts w:hint="eastAsia" w:ascii="宋体" w:cs="Times New Roman"/>
          <w:spacing w:val="5"/>
          <w:sz w:val="28"/>
          <w:szCs w:val="28"/>
        </w:rPr>
        <w:t>α</w:t>
      </w:r>
      <w:r>
        <w:rPr>
          <w:rFonts w:ascii="宋体" w:cs="Times New Roman"/>
          <w:spacing w:val="5"/>
          <w:sz w:val="28"/>
          <w:szCs w:val="28"/>
          <w:lang w:eastAsia="zh-CN"/>
        </w:rPr>
        <w:t>-</w:t>
      </w:r>
      <w:r>
        <w:rPr>
          <w:rFonts w:hint="eastAsia" w:ascii="宋体" w:hAnsi="宋体" w:cs="Times New Roman"/>
          <w:spacing w:val="5"/>
          <w:sz w:val="28"/>
          <w:szCs w:val="28"/>
          <w:lang w:eastAsia="zh-CN"/>
        </w:rPr>
        <w:t>甘磷酸胆碱</w:t>
      </w:r>
      <w:r>
        <w:rPr>
          <w:rFonts w:hint="eastAsia" w:ascii="宋体" w:hAnsi="宋体" w:cs="Times New Roman"/>
          <w:spacing w:val="4"/>
          <w:sz w:val="28"/>
          <w:szCs w:val="28"/>
          <w:lang w:eastAsia="zh-CN"/>
        </w:rPr>
        <w:t>生产设施设备和工艺流程</w:t>
      </w:r>
    </w:p>
    <w:p>
      <w:pPr>
        <w:keepNext w:val="0"/>
        <w:keepLines w:val="0"/>
        <w:pageBreakBefore w:val="0"/>
        <w:widowControl/>
        <w:kinsoku w:val="0"/>
        <w:wordWrap/>
        <w:overflowPunct/>
        <w:topLinePunct w:val="0"/>
        <w:autoSpaceDE w:val="0"/>
        <w:autoSpaceDN w:val="0"/>
        <w:bidi w:val="0"/>
        <w:adjustRightInd w:val="0"/>
        <w:snapToGrid w:val="0"/>
        <w:spacing w:line="560" w:lineRule="exact"/>
        <w:ind w:right="2" w:firstLine="1442" w:firstLineChars="501"/>
        <w:textAlignment w:val="baseline"/>
        <w:rPr>
          <w:rFonts w:ascii="宋体" w:cs="Times New Roman"/>
          <w:spacing w:val="4"/>
          <w:sz w:val="28"/>
          <w:szCs w:val="28"/>
          <w:lang w:eastAsia="zh-CN"/>
        </w:rPr>
      </w:pPr>
      <w:r>
        <w:rPr>
          <w:rFonts w:ascii="宋体" w:hAnsi="宋体" w:cs="Times New Roman"/>
          <w:spacing w:val="4"/>
          <w:sz w:val="28"/>
          <w:szCs w:val="28"/>
          <w:lang w:eastAsia="zh-CN"/>
        </w:rPr>
        <w:t>2.</w:t>
      </w:r>
      <w:r>
        <w:rPr>
          <w:rFonts w:hint="eastAsia" w:ascii="宋体" w:hAnsi="宋体" w:cs="Times New Roman"/>
          <w:spacing w:val="5"/>
          <w:sz w:val="28"/>
          <w:szCs w:val="28"/>
          <w:lang w:eastAsia="zh-CN"/>
        </w:rPr>
        <w:t>新食品原料</w:t>
      </w:r>
      <w:r>
        <w:rPr>
          <w:rFonts w:ascii="宋体" w:hAnsi="宋体" w:cs="Times New Roman"/>
          <w:spacing w:val="5"/>
          <w:sz w:val="28"/>
          <w:szCs w:val="28"/>
          <w:lang w:eastAsia="zh-CN"/>
        </w:rPr>
        <w:t xml:space="preserve"> L-</w:t>
      </w:r>
      <w:r>
        <w:rPr>
          <w:rFonts w:hint="eastAsia" w:ascii="宋体" w:cs="Times New Roman"/>
          <w:spacing w:val="5"/>
          <w:sz w:val="28"/>
          <w:szCs w:val="28"/>
        </w:rPr>
        <w:t>α</w:t>
      </w:r>
      <w:r>
        <w:rPr>
          <w:rFonts w:ascii="宋体" w:cs="Times New Roman"/>
          <w:spacing w:val="5"/>
          <w:sz w:val="28"/>
          <w:szCs w:val="28"/>
          <w:lang w:eastAsia="zh-CN"/>
        </w:rPr>
        <w:t>-</w:t>
      </w:r>
      <w:r>
        <w:rPr>
          <w:rFonts w:hint="eastAsia" w:ascii="宋体" w:hAnsi="宋体" w:cs="Times New Roman"/>
          <w:spacing w:val="5"/>
          <w:sz w:val="28"/>
          <w:szCs w:val="28"/>
          <w:lang w:eastAsia="zh-CN"/>
        </w:rPr>
        <w:t>甘磷酸胆碱生产涉及的主要标准</w:t>
      </w:r>
    </w:p>
    <w:p>
      <w:pPr>
        <w:keepNext w:val="0"/>
        <w:keepLines w:val="0"/>
        <w:pageBreakBefore w:val="0"/>
        <w:widowControl/>
        <w:kinsoku w:val="0"/>
        <w:wordWrap/>
        <w:overflowPunct/>
        <w:topLinePunct w:val="0"/>
        <w:autoSpaceDE w:val="0"/>
        <w:autoSpaceDN w:val="0"/>
        <w:bidi w:val="0"/>
        <w:adjustRightInd w:val="0"/>
        <w:snapToGrid w:val="0"/>
        <w:spacing w:line="560" w:lineRule="exact"/>
        <w:ind w:right="2" w:firstLine="1442" w:firstLineChars="501"/>
        <w:textAlignment w:val="baseline"/>
        <w:rPr>
          <w:rFonts w:ascii="宋体" w:cs="Times New Roman"/>
          <w:sz w:val="28"/>
          <w:szCs w:val="28"/>
          <w:lang w:eastAsia="zh-CN"/>
        </w:rPr>
      </w:pPr>
      <w:r>
        <w:rPr>
          <w:rFonts w:ascii="宋体" w:hAnsi="宋体" w:cs="Times New Roman"/>
          <w:spacing w:val="4"/>
          <w:sz w:val="28"/>
          <w:szCs w:val="28"/>
          <w:lang w:eastAsia="zh-CN"/>
        </w:rPr>
        <w:t>3.</w:t>
      </w:r>
      <w:r>
        <w:rPr>
          <w:rFonts w:hint="eastAsia" w:ascii="宋体" w:hAnsi="宋体" w:cs="Times New Roman"/>
          <w:spacing w:val="5"/>
          <w:sz w:val="28"/>
          <w:szCs w:val="28"/>
          <w:lang w:eastAsia="zh-CN"/>
        </w:rPr>
        <w:t>新食品原料</w:t>
      </w:r>
      <w:r>
        <w:rPr>
          <w:rFonts w:ascii="宋体" w:hAnsi="宋体" w:cs="Times New Roman"/>
          <w:spacing w:val="5"/>
          <w:sz w:val="28"/>
          <w:szCs w:val="28"/>
          <w:lang w:eastAsia="zh-CN"/>
        </w:rPr>
        <w:t xml:space="preserve"> L-</w:t>
      </w:r>
      <w:r>
        <w:rPr>
          <w:rFonts w:hint="eastAsia" w:ascii="宋体" w:cs="Times New Roman"/>
          <w:spacing w:val="5"/>
          <w:sz w:val="28"/>
          <w:szCs w:val="28"/>
        </w:rPr>
        <w:t>α</w:t>
      </w:r>
      <w:r>
        <w:rPr>
          <w:rFonts w:ascii="宋体" w:cs="Times New Roman"/>
          <w:spacing w:val="5"/>
          <w:sz w:val="28"/>
          <w:szCs w:val="28"/>
          <w:lang w:eastAsia="zh-CN"/>
        </w:rPr>
        <w:t>-</w:t>
      </w:r>
      <w:r>
        <w:rPr>
          <w:rFonts w:hint="eastAsia" w:ascii="宋体" w:hAnsi="宋体" w:cs="Times New Roman"/>
          <w:spacing w:val="5"/>
          <w:sz w:val="28"/>
          <w:szCs w:val="28"/>
          <w:lang w:eastAsia="zh-CN"/>
        </w:rPr>
        <w:t>甘磷酸胆</w:t>
      </w:r>
      <w:bookmarkStart w:id="29" w:name="OLE_LINK8"/>
      <w:r>
        <w:rPr>
          <w:rFonts w:hint="eastAsia" w:ascii="宋体" w:hAnsi="宋体" w:cs="Times New Roman"/>
          <w:spacing w:val="5"/>
          <w:sz w:val="28"/>
          <w:szCs w:val="28"/>
          <w:lang w:eastAsia="zh-CN"/>
        </w:rPr>
        <w:t>碱检验项目与标准</w:t>
      </w:r>
      <w:bookmarkEnd w:id="29"/>
    </w:p>
    <w:p>
      <w:pPr>
        <w:spacing w:line="360" w:lineRule="auto"/>
        <w:rPr>
          <w:rFonts w:ascii="宋体" w:cs="Times New Roman"/>
          <w:spacing w:val="4"/>
          <w:sz w:val="28"/>
          <w:szCs w:val="28"/>
          <w:lang w:eastAsia="zh-CN"/>
        </w:rPr>
      </w:pPr>
      <w:r>
        <w:rPr>
          <w:rFonts w:ascii="宋体" w:cs="Times New Roman"/>
          <w:sz w:val="28"/>
          <w:szCs w:val="28"/>
          <w:lang w:eastAsia="zh-CN"/>
        </w:rPr>
        <w:br w:type="page"/>
      </w:r>
      <w:r>
        <w:rPr>
          <w:rFonts w:hint="eastAsia" w:ascii="宋体" w:hAnsi="宋体" w:cs="Times New Roman"/>
          <w:spacing w:val="-3"/>
          <w:sz w:val="28"/>
          <w:szCs w:val="28"/>
          <w:lang w:eastAsia="zh-CN"/>
        </w:rPr>
        <w:t>附件</w:t>
      </w:r>
      <w:r>
        <w:rPr>
          <w:rFonts w:ascii="宋体" w:hAnsi="宋体" w:cs="Times New Roman"/>
          <w:spacing w:val="4"/>
          <w:sz w:val="28"/>
          <w:szCs w:val="28"/>
          <w:lang w:eastAsia="zh-CN"/>
        </w:rPr>
        <w:t xml:space="preserve">1 </w:t>
      </w:r>
    </w:p>
    <w:p>
      <w:pPr>
        <w:spacing w:line="360" w:lineRule="auto"/>
        <w:jc w:val="center"/>
        <w:rPr>
          <w:rFonts w:ascii="宋体" w:cs="Times New Roman"/>
          <w:spacing w:val="4"/>
          <w:sz w:val="28"/>
          <w:szCs w:val="28"/>
          <w:lang w:eastAsia="zh-CN"/>
        </w:rPr>
      </w:pPr>
      <w:r>
        <w:rPr>
          <w:rFonts w:hint="eastAsia" w:ascii="宋体" w:hAnsi="宋体" w:cs="Times New Roman"/>
          <w:spacing w:val="4"/>
          <w:sz w:val="28"/>
          <w:szCs w:val="28"/>
          <w:lang w:eastAsia="zh-CN"/>
        </w:rPr>
        <w:t>新食品原料</w:t>
      </w:r>
      <w:r>
        <w:rPr>
          <w:rFonts w:ascii="宋体" w:hAnsi="宋体" w:cs="Times New Roman"/>
          <w:spacing w:val="4"/>
          <w:sz w:val="28"/>
          <w:szCs w:val="28"/>
          <w:lang w:eastAsia="zh-CN"/>
        </w:rPr>
        <w:t xml:space="preserve"> </w:t>
      </w:r>
      <w:bookmarkStart w:id="30" w:name="OLE_LINK33"/>
      <w:r>
        <w:rPr>
          <w:rFonts w:ascii="宋体" w:hAnsi="宋体" w:cs="Times New Roman"/>
          <w:spacing w:val="5"/>
          <w:sz w:val="28"/>
          <w:szCs w:val="28"/>
          <w:lang w:eastAsia="zh-CN"/>
        </w:rPr>
        <w:t>L-</w:t>
      </w:r>
      <w:r>
        <w:rPr>
          <w:rFonts w:hint="eastAsia" w:ascii="宋体" w:cs="Times New Roman"/>
          <w:spacing w:val="5"/>
          <w:sz w:val="28"/>
          <w:szCs w:val="28"/>
        </w:rPr>
        <w:t>α</w:t>
      </w:r>
      <w:r>
        <w:rPr>
          <w:rFonts w:ascii="宋体" w:cs="Times New Roman"/>
          <w:spacing w:val="5"/>
          <w:sz w:val="28"/>
          <w:szCs w:val="28"/>
          <w:lang w:eastAsia="zh-CN"/>
        </w:rPr>
        <w:t>-</w:t>
      </w:r>
      <w:r>
        <w:rPr>
          <w:rFonts w:hint="eastAsia" w:ascii="宋体" w:hAnsi="宋体" w:cs="Times New Roman"/>
          <w:spacing w:val="5"/>
          <w:sz w:val="28"/>
          <w:szCs w:val="28"/>
          <w:lang w:eastAsia="zh-CN"/>
        </w:rPr>
        <w:t>甘磷酸胆碱</w:t>
      </w:r>
      <w:bookmarkEnd w:id="30"/>
      <w:r>
        <w:rPr>
          <w:rFonts w:hint="eastAsia" w:ascii="宋体" w:hAnsi="宋体" w:cs="Times New Roman"/>
          <w:spacing w:val="4"/>
          <w:sz w:val="28"/>
          <w:szCs w:val="28"/>
          <w:lang w:eastAsia="zh-CN"/>
        </w:rPr>
        <w:t>生产设施设备和工艺流程</w:t>
      </w:r>
    </w:p>
    <w:tbl>
      <w:tblPr>
        <w:tblStyle w:val="5"/>
        <w:tblW w:w="89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74"/>
        <w:gridCol w:w="4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blHeader/>
          <w:jc w:val="center"/>
        </w:trPr>
        <w:tc>
          <w:tcPr>
            <w:tcW w:w="4774" w:type="dxa"/>
            <w:vAlign w:val="center"/>
          </w:tcPr>
          <w:p>
            <w:pPr>
              <w:overflowPunct w:val="0"/>
              <w:topLinePunct/>
              <w:spacing w:line="360" w:lineRule="auto"/>
              <w:jc w:val="center"/>
              <w:rPr>
                <w:rFonts w:hint="eastAsia" w:ascii="仿宋_GB2312" w:hAnsi="仿宋_GB2312" w:eastAsia="仿宋_GB2312" w:cs="仿宋_GB2312"/>
                <w:b/>
                <w:bCs/>
                <w:sz w:val="28"/>
                <w:szCs w:val="28"/>
                <w:lang w:eastAsia="zh-CN"/>
              </w:rPr>
            </w:pPr>
            <w:bookmarkStart w:id="31" w:name="OLE_LINK32"/>
            <w:bookmarkStart w:id="32" w:name="OLE_LINK31" w:colFirst="1" w:colLast="1"/>
            <w:r>
              <w:rPr>
                <w:rFonts w:hint="eastAsia" w:ascii="仿宋_GB2312" w:hAnsi="仿宋_GB2312" w:eastAsia="仿宋_GB2312" w:cs="仿宋_GB2312"/>
                <w:b/>
                <w:bCs/>
                <w:sz w:val="28"/>
                <w:szCs w:val="28"/>
                <w:lang w:eastAsia="zh-CN"/>
              </w:rPr>
              <w:t>工艺流程</w:t>
            </w:r>
          </w:p>
        </w:tc>
        <w:tc>
          <w:tcPr>
            <w:tcW w:w="4225" w:type="dxa"/>
            <w:vAlign w:val="center"/>
          </w:tcPr>
          <w:p>
            <w:pPr>
              <w:overflowPunct w:val="0"/>
              <w:topLinePunct/>
              <w:spacing w:line="360" w:lineRule="auto"/>
              <w:jc w:val="center"/>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lang w:eastAsia="zh-CN"/>
              </w:rPr>
              <w:t>设备设施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restart"/>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bookmarkStart w:id="33" w:name="OLE_LINK5" w:colFirst="4" w:colLast="4"/>
            <w:r>
              <w:rPr>
                <w:rFonts w:hint="eastAsia" w:ascii="仿宋_GB2312" w:hAnsi="仿宋_GB2312" w:eastAsia="仿宋_GB2312" w:cs="仿宋_GB2312"/>
                <w:kern w:val="2"/>
                <w:sz w:val="28"/>
                <w:szCs w:val="28"/>
                <w:lang w:eastAsia="zh-CN"/>
              </w:rPr>
              <w:t>磷酸胆碱制备</w:t>
            </w: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val="fr-FR" w:eastAsia="zh-CN"/>
              </w:rPr>
              <w:t>M402反应釜</w:t>
            </w:r>
          </w:p>
        </w:tc>
      </w:tr>
      <w:bookmarkEnd w:id="33"/>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continue"/>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val="fr-FR" w:eastAsia="zh-CN"/>
              </w:rPr>
              <w:t>中和釜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continue"/>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val="fr-FR" w:eastAsia="zh-CN"/>
              </w:rPr>
              <w:t>中和釜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continue"/>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val="en-US" w:eastAsia="zh-CN"/>
              </w:rPr>
              <w:t>除盐</w:t>
            </w:r>
            <w:r>
              <w:rPr>
                <w:rFonts w:hint="eastAsia" w:ascii="仿宋_GB2312" w:hAnsi="仿宋_GB2312" w:eastAsia="仿宋_GB2312" w:cs="仿宋_GB2312"/>
                <w:sz w:val="28"/>
                <w:szCs w:val="28"/>
                <w:lang w:eastAsia="zh-CN"/>
              </w:rPr>
              <w:t>离心机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continue"/>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val="en-US" w:eastAsia="zh-CN"/>
              </w:rPr>
              <w:t>除盐</w:t>
            </w:r>
            <w:r>
              <w:rPr>
                <w:rFonts w:hint="eastAsia" w:ascii="仿宋_GB2312" w:hAnsi="仿宋_GB2312" w:eastAsia="仿宋_GB2312" w:cs="仿宋_GB2312"/>
                <w:sz w:val="28"/>
                <w:szCs w:val="28"/>
                <w:lang w:eastAsia="zh-CN"/>
              </w:rPr>
              <w:t>离心机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continue"/>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薄膜蒸发器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R-缩水甘油制备</w:t>
            </w: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R102合成釜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restart"/>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pacing w:val="5"/>
                <w:sz w:val="28"/>
                <w:szCs w:val="28"/>
                <w:lang w:eastAsia="zh-CN"/>
              </w:rPr>
              <w:t>L-</w:t>
            </w:r>
            <w:r>
              <w:rPr>
                <w:rFonts w:hint="eastAsia" w:ascii="仿宋_GB2312" w:hAnsi="仿宋_GB2312" w:eastAsia="仿宋_GB2312" w:cs="仿宋_GB2312"/>
                <w:spacing w:val="5"/>
                <w:sz w:val="28"/>
                <w:szCs w:val="28"/>
              </w:rPr>
              <w:t>α</w:t>
            </w:r>
            <w:r>
              <w:rPr>
                <w:rFonts w:hint="eastAsia" w:ascii="仿宋_GB2312" w:hAnsi="仿宋_GB2312" w:eastAsia="仿宋_GB2312" w:cs="仿宋_GB2312"/>
                <w:spacing w:val="5"/>
                <w:sz w:val="28"/>
                <w:szCs w:val="28"/>
                <w:lang w:eastAsia="zh-CN"/>
              </w:rPr>
              <w:t>-甘磷酸胆碱制备</w:t>
            </w: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D01合成釜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continue"/>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D01合成釜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val="fr-FR" w:eastAsia="zh-CN"/>
              </w:rPr>
              <w:t>脱</w:t>
            </w:r>
            <w:r>
              <w:rPr>
                <w:rFonts w:hint="eastAsia" w:ascii="仿宋_GB2312" w:hAnsi="仿宋_GB2312" w:eastAsia="仿宋_GB2312" w:cs="仿宋_GB2312"/>
                <w:color w:val="000000" w:themeColor="text1"/>
                <w:sz w:val="28"/>
                <w:szCs w:val="28"/>
                <w:lang w:val="fr-FR" w:eastAsia="zh-CN"/>
              </w:rPr>
              <w:t>色</w:t>
            </w:r>
            <w:r>
              <w:rPr>
                <w:rFonts w:hint="eastAsia" w:ascii="仿宋_GB2312" w:hAnsi="仿宋_GB2312" w:eastAsia="仿宋_GB2312" w:cs="仿宋_GB2312"/>
                <w:color w:val="000000" w:themeColor="text1"/>
                <w:sz w:val="28"/>
                <w:szCs w:val="28"/>
                <w:lang w:eastAsia="zh-CN"/>
              </w:rPr>
              <w:t>除杂</w:t>
            </w: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val="fr-FR" w:eastAsia="zh-CN"/>
              </w:rPr>
              <w:t>脱色釜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一次除水</w:t>
            </w: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闪蒸罐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二次除水</w:t>
            </w: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二次除水釜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restart"/>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一次析晶</w:t>
            </w: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一次析晶釜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continue"/>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一次析晶离心机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restart"/>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bookmarkStart w:id="34" w:name="OLE_LINK6" w:colFirst="4" w:colLast="4"/>
            <w:r>
              <w:rPr>
                <w:rFonts w:hint="eastAsia" w:ascii="仿宋_GB2312" w:hAnsi="仿宋_GB2312" w:eastAsia="仿宋_GB2312" w:cs="仿宋_GB2312"/>
                <w:sz w:val="28"/>
                <w:szCs w:val="28"/>
                <w:lang w:eastAsia="zh-CN"/>
              </w:rPr>
              <w:t>精制</w:t>
            </w: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精制溶解釜</w:t>
            </w:r>
          </w:p>
        </w:tc>
      </w:tr>
      <w:bookmarkEnd w:id="34"/>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continue"/>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bookmarkStart w:id="35" w:name="OLE_LINK34"/>
            <w:r>
              <w:rPr>
                <w:rFonts w:hint="eastAsia" w:ascii="仿宋_GB2312" w:hAnsi="仿宋_GB2312" w:eastAsia="仿宋_GB2312" w:cs="仿宋_GB2312"/>
                <w:sz w:val="28"/>
                <w:szCs w:val="28"/>
                <w:lang w:eastAsia="zh-CN"/>
              </w:rPr>
              <w:t>二次析晶釜</w:t>
            </w:r>
            <w:bookmarkEnd w:id="3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Merge w:val="continue"/>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二次析晶离心机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kern w:val="2"/>
                <w:sz w:val="28"/>
                <w:szCs w:val="28"/>
                <w:lang w:eastAsia="zh-CN"/>
              </w:rPr>
              <w:t>干燥</w:t>
            </w: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双锥干燥机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kern w:val="2"/>
                <w:sz w:val="28"/>
                <w:szCs w:val="28"/>
                <w:lang w:eastAsia="zh-CN"/>
              </w:rPr>
              <w:t>内包装</w:t>
            </w: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包装机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774"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kern w:val="2"/>
                <w:sz w:val="28"/>
                <w:szCs w:val="28"/>
                <w:lang w:eastAsia="zh-CN"/>
              </w:rPr>
              <w:t>外包装</w:t>
            </w:r>
          </w:p>
        </w:tc>
        <w:tc>
          <w:tcPr>
            <w:tcW w:w="4225" w:type="dxa"/>
            <w:vAlign w:val="center"/>
          </w:tcPr>
          <w:p>
            <w:pPr>
              <w:spacing w:line="360" w:lineRule="auto"/>
              <w:jc w:val="center"/>
              <w:textAlignment w:val="center"/>
              <w:rPr>
                <w:rFonts w:hint="eastAsia" w:ascii="仿宋_GB2312" w:hAnsi="仿宋_GB2312" w:eastAsia="仿宋_GB2312" w:cs="仿宋_GB2312"/>
                <w:kern w:val="2"/>
                <w:sz w:val="28"/>
                <w:szCs w:val="28"/>
                <w:lang w:eastAsia="zh-CN"/>
              </w:rPr>
            </w:pPr>
            <w:r>
              <w:rPr>
                <w:rFonts w:hint="eastAsia" w:ascii="仿宋_GB2312" w:hAnsi="仿宋_GB2312" w:eastAsia="仿宋_GB2312" w:cs="仿宋_GB2312"/>
                <w:sz w:val="28"/>
                <w:szCs w:val="28"/>
                <w:lang w:eastAsia="zh-CN"/>
              </w:rPr>
              <w:t>包装机</w:t>
            </w:r>
          </w:p>
        </w:tc>
      </w:tr>
      <w:bookmarkEnd w:id="31"/>
      <w:bookmarkEnd w:id="32"/>
    </w:tbl>
    <w:p>
      <w:pPr>
        <w:spacing w:line="360" w:lineRule="auto"/>
        <w:rPr>
          <w:rFonts w:ascii="宋体" w:cs="Times New Roman"/>
          <w:sz w:val="28"/>
          <w:szCs w:val="28"/>
        </w:rPr>
        <w:sectPr>
          <w:headerReference r:id="rId3" w:type="default"/>
          <w:footerReference r:id="rId4" w:type="default"/>
          <w:pgSz w:w="11906" w:h="16838"/>
          <w:pgMar w:top="1040" w:right="1474" w:bottom="1118" w:left="1586" w:header="0" w:footer="854" w:gutter="0"/>
          <w:cols w:space="720" w:num="1"/>
        </w:sectPr>
      </w:pPr>
    </w:p>
    <w:p>
      <w:pPr>
        <w:spacing w:line="360" w:lineRule="auto"/>
        <w:rPr>
          <w:rFonts w:ascii="宋体" w:cs="Times New Roman"/>
          <w:spacing w:val="-3"/>
          <w:sz w:val="28"/>
          <w:szCs w:val="28"/>
          <w:lang w:eastAsia="zh-CN"/>
        </w:rPr>
      </w:pPr>
      <w:r>
        <w:rPr>
          <w:rFonts w:hint="eastAsia" w:ascii="宋体" w:hAnsi="宋体" w:cs="Times New Roman"/>
          <w:spacing w:val="-3"/>
          <w:sz w:val="28"/>
          <w:szCs w:val="28"/>
          <w:lang w:eastAsia="zh-CN"/>
        </w:rPr>
        <w:t>附件</w:t>
      </w:r>
      <w:r>
        <w:rPr>
          <w:rFonts w:ascii="宋体" w:hAnsi="宋体" w:cs="Times New Roman"/>
          <w:spacing w:val="-3"/>
          <w:sz w:val="28"/>
          <w:szCs w:val="28"/>
          <w:lang w:eastAsia="zh-CN"/>
        </w:rPr>
        <w:t>2</w:t>
      </w:r>
    </w:p>
    <w:p>
      <w:pPr>
        <w:spacing w:line="360" w:lineRule="auto"/>
        <w:jc w:val="center"/>
        <w:rPr>
          <w:rFonts w:ascii="宋体" w:cs="Times New Roman"/>
          <w:spacing w:val="-3"/>
          <w:sz w:val="28"/>
          <w:szCs w:val="28"/>
          <w:lang w:eastAsia="zh-CN"/>
        </w:rPr>
      </w:pPr>
      <w:r>
        <w:rPr>
          <w:rFonts w:hint="eastAsia" w:ascii="宋体" w:hAnsi="宋体" w:cs="Times New Roman"/>
          <w:spacing w:val="-3"/>
          <w:sz w:val="28"/>
          <w:szCs w:val="28"/>
          <w:lang w:eastAsia="zh-CN"/>
        </w:rPr>
        <w:t>新食品原料</w:t>
      </w:r>
      <w:r>
        <w:rPr>
          <w:rFonts w:ascii="宋体" w:hAnsi="宋体" w:cs="Times New Roman"/>
          <w:spacing w:val="-3"/>
          <w:sz w:val="28"/>
          <w:szCs w:val="28"/>
          <w:lang w:eastAsia="zh-CN"/>
        </w:rPr>
        <w:t xml:space="preserve"> L-</w:t>
      </w:r>
      <w:r>
        <w:rPr>
          <w:rFonts w:hint="eastAsia" w:ascii="宋体" w:hAnsi="宋体" w:cs="Times New Roman"/>
          <w:spacing w:val="-3"/>
          <w:sz w:val="28"/>
          <w:szCs w:val="28"/>
          <w:lang w:eastAsia="zh-CN"/>
        </w:rPr>
        <w:t>α</w:t>
      </w:r>
      <w:r>
        <w:rPr>
          <w:rFonts w:ascii="宋体" w:cs="Times New Roman"/>
          <w:spacing w:val="-3"/>
          <w:sz w:val="28"/>
          <w:szCs w:val="28"/>
          <w:lang w:eastAsia="zh-CN"/>
        </w:rPr>
        <w:t>-</w:t>
      </w:r>
      <w:r>
        <w:rPr>
          <w:rFonts w:hint="eastAsia" w:ascii="宋体" w:hAnsi="宋体" w:cs="Times New Roman"/>
          <w:spacing w:val="-3"/>
          <w:sz w:val="28"/>
          <w:szCs w:val="28"/>
          <w:lang w:eastAsia="zh-CN"/>
        </w:rPr>
        <w:t>甘磷酸胆碱生产涉及的主要标准</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7"/>
        <w:gridCol w:w="2326"/>
        <w:gridCol w:w="59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val="0"/>
              <w:spacing w:before="101" w:line="360" w:lineRule="auto"/>
              <w:jc w:val="center"/>
              <w:rPr>
                <w:rFonts w:hint="eastAsia" w:ascii="仿宋_GB2312" w:hAnsi="仿宋_GB2312" w:eastAsia="仿宋_GB2312" w:cs="仿宋_GB2312"/>
                <w:b/>
                <w:bCs/>
                <w:spacing w:val="-3"/>
                <w:sz w:val="28"/>
                <w:szCs w:val="28"/>
                <w:lang w:eastAsia="zh-CN"/>
              </w:rPr>
            </w:pPr>
            <w:r>
              <w:rPr>
                <w:rFonts w:hint="eastAsia" w:ascii="仿宋_GB2312" w:hAnsi="仿宋_GB2312" w:eastAsia="仿宋_GB2312" w:cs="仿宋_GB2312"/>
                <w:b/>
                <w:bCs/>
                <w:spacing w:val="-3"/>
                <w:sz w:val="28"/>
                <w:szCs w:val="28"/>
                <w:lang w:eastAsia="zh-CN"/>
              </w:rPr>
              <w:t>序号</w:t>
            </w:r>
          </w:p>
        </w:tc>
        <w:tc>
          <w:tcPr>
            <w:tcW w:w="2326" w:type="dxa"/>
            <w:vAlign w:val="center"/>
          </w:tcPr>
          <w:p>
            <w:pPr>
              <w:widowControl w:val="0"/>
              <w:spacing w:before="101" w:line="360" w:lineRule="auto"/>
              <w:jc w:val="center"/>
              <w:rPr>
                <w:rFonts w:hint="eastAsia" w:ascii="仿宋_GB2312" w:hAnsi="仿宋_GB2312" w:eastAsia="仿宋_GB2312" w:cs="仿宋_GB2312"/>
                <w:b/>
                <w:bCs/>
                <w:spacing w:val="-3"/>
                <w:sz w:val="28"/>
                <w:szCs w:val="28"/>
                <w:lang w:eastAsia="zh-CN"/>
              </w:rPr>
            </w:pPr>
            <w:r>
              <w:rPr>
                <w:rFonts w:hint="eastAsia" w:ascii="仿宋_GB2312" w:hAnsi="仿宋_GB2312" w:eastAsia="仿宋_GB2312" w:cs="仿宋_GB2312"/>
                <w:b/>
                <w:bCs/>
                <w:spacing w:val="-3"/>
                <w:sz w:val="28"/>
                <w:szCs w:val="28"/>
                <w:lang w:eastAsia="zh-CN"/>
              </w:rPr>
              <w:t>标准号</w:t>
            </w:r>
          </w:p>
        </w:tc>
        <w:tc>
          <w:tcPr>
            <w:tcW w:w="5929" w:type="dxa"/>
            <w:vAlign w:val="center"/>
          </w:tcPr>
          <w:p>
            <w:pPr>
              <w:widowControl w:val="0"/>
              <w:spacing w:before="101" w:line="360" w:lineRule="auto"/>
              <w:jc w:val="center"/>
              <w:rPr>
                <w:rFonts w:hint="eastAsia" w:ascii="仿宋_GB2312" w:hAnsi="仿宋_GB2312" w:eastAsia="仿宋_GB2312" w:cs="仿宋_GB2312"/>
                <w:b/>
                <w:bCs/>
                <w:spacing w:val="-3"/>
                <w:sz w:val="28"/>
                <w:szCs w:val="28"/>
                <w:lang w:eastAsia="zh-CN"/>
              </w:rPr>
            </w:pPr>
            <w:r>
              <w:rPr>
                <w:rFonts w:hint="eastAsia" w:ascii="仿宋_GB2312" w:hAnsi="仿宋_GB2312" w:eastAsia="仿宋_GB2312" w:cs="仿宋_GB2312"/>
                <w:b/>
                <w:bCs/>
                <w:spacing w:val="-3"/>
                <w:sz w:val="28"/>
                <w:szCs w:val="28"/>
                <w:lang w:eastAsia="zh-CN"/>
              </w:rPr>
              <w:t>标准名称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r>
              <w:rPr>
                <w:rFonts w:hint="eastAsia" w:ascii="仿宋_GB2312" w:hAnsi="仿宋_GB2312" w:eastAsia="仿宋_GB2312" w:cs="仿宋_GB2312"/>
                <w:sz w:val="28"/>
                <w:szCs w:val="28"/>
              </w:rPr>
              <w:t>GB/T 191</w:t>
            </w:r>
          </w:p>
        </w:tc>
        <w:tc>
          <w:tcPr>
            <w:tcW w:w="5929"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r>
              <w:rPr>
                <w:rFonts w:hint="eastAsia" w:ascii="仿宋_GB2312" w:hAnsi="仿宋_GB2312" w:eastAsia="仿宋_GB2312" w:cs="仿宋_GB2312"/>
                <w:sz w:val="28"/>
                <w:szCs w:val="28"/>
              </w:rPr>
              <w:t>包装储运图示标志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bookmarkStart w:id="36" w:name="OLE_LINK38"/>
            <w:r>
              <w:rPr>
                <w:rFonts w:hint="eastAsia" w:ascii="仿宋_GB2312" w:hAnsi="仿宋_GB2312" w:eastAsia="仿宋_GB2312" w:cs="仿宋_GB2312"/>
                <w:sz w:val="28"/>
                <w:szCs w:val="28"/>
              </w:rPr>
              <w:t>HG/T 4691</w:t>
            </w:r>
            <w:bookmarkEnd w:id="36"/>
          </w:p>
        </w:tc>
        <w:tc>
          <w:tcPr>
            <w:tcW w:w="5929"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r>
              <w:rPr>
                <w:rFonts w:hint="eastAsia" w:ascii="仿宋_GB2312" w:hAnsi="仿宋_GB2312" w:eastAsia="仿宋_GB2312" w:cs="仿宋_GB2312"/>
                <w:sz w:val="28"/>
                <w:szCs w:val="28"/>
              </w:rPr>
              <w:t>工业多聚磷酸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r>
              <w:rPr>
                <w:rFonts w:hint="eastAsia" w:ascii="仿宋_GB2312" w:hAnsi="仿宋_GB2312" w:eastAsia="仿宋_GB2312" w:cs="仿宋_GB2312"/>
                <w:sz w:val="28"/>
                <w:szCs w:val="28"/>
              </w:rPr>
              <w:t>GB 1903.36</w:t>
            </w:r>
          </w:p>
        </w:tc>
        <w:tc>
          <w:tcPr>
            <w:tcW w:w="5929"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bookmarkStart w:id="37" w:name="OLE_LINK39"/>
            <w:r>
              <w:rPr>
                <w:rFonts w:hint="eastAsia" w:ascii="仿宋_GB2312" w:hAnsi="仿宋_GB2312" w:eastAsia="仿宋_GB2312" w:cs="仿宋_GB2312"/>
                <w:sz w:val="28"/>
                <w:szCs w:val="28"/>
                <w:lang w:eastAsia="zh-CN"/>
              </w:rPr>
              <w:t>食品安全国家标准  食品营养强化剂  氯化胆碱</w:t>
            </w:r>
            <w:bookmarkEnd w:id="3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r>
              <w:rPr>
                <w:rFonts w:hint="eastAsia" w:ascii="仿宋_GB2312" w:hAnsi="仿宋_GB2312" w:eastAsia="仿宋_GB2312" w:cs="仿宋_GB2312"/>
                <w:sz w:val="28"/>
                <w:szCs w:val="28"/>
              </w:rPr>
              <w:t>Q/210403JJQ 00</w:t>
            </w:r>
            <w:r>
              <w:rPr>
                <w:rFonts w:hint="eastAsia" w:ascii="仿宋_GB2312" w:hAnsi="仿宋_GB2312" w:eastAsia="仿宋_GB2312" w:cs="仿宋_GB2312"/>
                <w:sz w:val="28"/>
                <w:szCs w:val="28"/>
                <w:lang w:eastAsia="zh-CN"/>
              </w:rPr>
              <w:t>1</w:t>
            </w:r>
          </w:p>
        </w:tc>
        <w:tc>
          <w:tcPr>
            <w:tcW w:w="5929"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r>
              <w:rPr>
                <w:rFonts w:hint="eastAsia" w:ascii="仿宋_GB2312" w:hAnsi="仿宋_GB2312" w:eastAsia="仿宋_GB2312" w:cs="仿宋_GB2312"/>
                <w:sz w:val="28"/>
                <w:szCs w:val="28"/>
              </w:rPr>
              <w:t>R-3-氯-1,2</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丙二醇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bookmarkStart w:id="38" w:name="OLE_LINK41"/>
            <w:r>
              <w:rPr>
                <w:rFonts w:hint="eastAsia" w:ascii="仿宋_GB2312" w:hAnsi="仿宋_GB2312" w:eastAsia="仿宋_GB2312" w:cs="仿宋_GB2312"/>
                <w:sz w:val="28"/>
                <w:szCs w:val="28"/>
              </w:rPr>
              <w:t>GB 1886.20</w:t>
            </w:r>
            <w:bookmarkEnd w:id="38"/>
          </w:p>
        </w:tc>
        <w:tc>
          <w:tcPr>
            <w:tcW w:w="5929"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r>
              <w:rPr>
                <w:rFonts w:hint="eastAsia" w:ascii="仿宋_GB2312" w:hAnsi="仿宋_GB2312" w:eastAsia="仿宋_GB2312" w:cs="仿宋_GB2312"/>
                <w:sz w:val="28"/>
                <w:szCs w:val="28"/>
                <w:lang w:eastAsia="zh-CN"/>
              </w:rPr>
              <w:t>食品安全国家标准  食品添加剂  氢氧化钠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bookmarkStart w:id="39" w:name="OLE_LINK42"/>
            <w:r>
              <w:rPr>
                <w:rFonts w:hint="eastAsia" w:ascii="仿宋_GB2312" w:hAnsi="仿宋_GB2312" w:eastAsia="仿宋_GB2312" w:cs="仿宋_GB2312"/>
                <w:sz w:val="28"/>
                <w:szCs w:val="28"/>
              </w:rPr>
              <w:t>GB 5749</w:t>
            </w:r>
            <w:bookmarkEnd w:id="39"/>
          </w:p>
        </w:tc>
        <w:tc>
          <w:tcPr>
            <w:tcW w:w="5929"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r>
              <w:rPr>
                <w:rFonts w:hint="eastAsia" w:ascii="仿宋_GB2312" w:hAnsi="仿宋_GB2312" w:eastAsia="仿宋_GB2312" w:cs="仿宋_GB2312"/>
                <w:sz w:val="28"/>
                <w:szCs w:val="28"/>
              </w:rPr>
              <w:t>生活饮用水卫生标准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bookmarkStart w:id="40" w:name="OLE_LINK43"/>
            <w:r>
              <w:rPr>
                <w:rFonts w:hint="eastAsia" w:ascii="仿宋_GB2312" w:hAnsi="仿宋_GB2312" w:eastAsia="仿宋_GB2312" w:cs="仿宋_GB2312"/>
                <w:sz w:val="28"/>
                <w:szCs w:val="28"/>
              </w:rPr>
              <w:t>GB 5009.3</w:t>
            </w:r>
            <w:bookmarkEnd w:id="40"/>
          </w:p>
        </w:tc>
        <w:tc>
          <w:tcPr>
            <w:tcW w:w="5929"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bookmarkStart w:id="41" w:name="OLE_LINK53"/>
            <w:r>
              <w:rPr>
                <w:rFonts w:hint="eastAsia" w:ascii="仿宋_GB2312" w:hAnsi="仿宋_GB2312" w:eastAsia="仿宋_GB2312" w:cs="仿宋_GB2312"/>
                <w:sz w:val="28"/>
                <w:szCs w:val="28"/>
                <w:lang w:eastAsia="zh-CN"/>
              </w:rPr>
              <w:t>食品安全国家标准  食品中水分的测定</w:t>
            </w:r>
            <w:bookmarkEnd w:id="4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bookmarkStart w:id="42" w:name="OLE_LINK44"/>
            <w:r>
              <w:rPr>
                <w:rFonts w:hint="eastAsia" w:ascii="仿宋_GB2312" w:hAnsi="仿宋_GB2312" w:eastAsia="仿宋_GB2312" w:cs="仿宋_GB2312"/>
                <w:sz w:val="28"/>
                <w:szCs w:val="28"/>
              </w:rPr>
              <w:t>GB 5009.237</w:t>
            </w:r>
            <w:bookmarkEnd w:id="42"/>
          </w:p>
        </w:tc>
        <w:tc>
          <w:tcPr>
            <w:tcW w:w="5929"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bookmarkStart w:id="43" w:name="OLE_LINK52"/>
            <w:r>
              <w:rPr>
                <w:rFonts w:hint="eastAsia" w:ascii="仿宋_GB2312" w:hAnsi="仿宋_GB2312" w:eastAsia="仿宋_GB2312" w:cs="仿宋_GB2312"/>
                <w:sz w:val="28"/>
                <w:szCs w:val="28"/>
                <w:lang w:eastAsia="zh-CN"/>
              </w:rPr>
              <w:t>食品安全国家标准 食品pH值的测定</w:t>
            </w:r>
            <w:bookmarkEnd w:id="4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r>
              <w:rPr>
                <w:rFonts w:hint="eastAsia" w:ascii="仿宋_GB2312" w:hAnsi="仿宋_GB2312" w:eastAsia="仿宋_GB2312" w:cs="仿宋_GB2312"/>
                <w:sz w:val="28"/>
                <w:szCs w:val="28"/>
              </w:rPr>
              <w:t>GB 5009.256</w:t>
            </w:r>
          </w:p>
        </w:tc>
        <w:tc>
          <w:tcPr>
            <w:tcW w:w="5929"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bookmarkStart w:id="44" w:name="OLE_LINK45"/>
            <w:r>
              <w:rPr>
                <w:rFonts w:hint="eastAsia" w:ascii="仿宋_GB2312" w:hAnsi="仿宋_GB2312" w:eastAsia="仿宋_GB2312" w:cs="仿宋_GB2312"/>
                <w:sz w:val="28"/>
                <w:szCs w:val="28"/>
                <w:lang w:eastAsia="zh-CN"/>
              </w:rPr>
              <w:t>食品安全国家标准 食品中多种磷酸盐的测定</w:t>
            </w:r>
            <w:bookmarkEnd w:id="4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r>
              <w:rPr>
                <w:rFonts w:hint="eastAsia" w:ascii="仿宋_GB2312" w:hAnsi="仿宋_GB2312" w:eastAsia="仿宋_GB2312" w:cs="仿宋_GB2312"/>
                <w:sz w:val="28"/>
                <w:szCs w:val="28"/>
              </w:rPr>
              <w:t>GB 5413.20</w:t>
            </w:r>
          </w:p>
        </w:tc>
        <w:tc>
          <w:tcPr>
            <w:tcW w:w="5929" w:type="dxa"/>
            <w:vAlign w:val="center"/>
          </w:tcPr>
          <w:p>
            <w:pPr>
              <w:widowControl w:val="0"/>
              <w:spacing w:before="101" w:line="360" w:lineRule="auto"/>
              <w:jc w:val="center"/>
              <w:rPr>
                <w:rFonts w:hint="eastAsia" w:ascii="仿宋_GB2312" w:hAnsi="仿宋_GB2312" w:eastAsia="仿宋_GB2312" w:cs="仿宋_GB2312"/>
                <w:spacing w:val="-3"/>
                <w:sz w:val="28"/>
                <w:szCs w:val="28"/>
                <w:lang w:eastAsia="zh-CN"/>
              </w:rPr>
            </w:pPr>
            <w:bookmarkStart w:id="45" w:name="OLE_LINK46"/>
            <w:r>
              <w:rPr>
                <w:rFonts w:hint="eastAsia" w:ascii="仿宋_GB2312" w:hAnsi="仿宋_GB2312" w:eastAsia="仿宋_GB2312" w:cs="仿宋_GB2312"/>
                <w:sz w:val="28"/>
                <w:szCs w:val="28"/>
                <w:lang w:eastAsia="zh-CN"/>
              </w:rPr>
              <w:t>食品安全国家标准 婴幼儿食品和乳品中胆碱的测定</w:t>
            </w:r>
            <w:bookmarkEnd w:id="4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GB 4806.7</w:t>
            </w:r>
          </w:p>
        </w:tc>
        <w:tc>
          <w:tcPr>
            <w:tcW w:w="5929" w:type="dxa"/>
            <w:vAlign w:val="center"/>
          </w:tcPr>
          <w:p>
            <w:pPr>
              <w:widowControl w:val="0"/>
              <w:spacing w:before="101" w:line="360" w:lineRule="auto"/>
              <w:jc w:val="center"/>
              <w:rPr>
                <w:rFonts w:hint="eastAsia" w:ascii="仿宋_GB2312" w:hAnsi="仿宋_GB2312" w:eastAsia="仿宋_GB2312" w:cs="仿宋_GB2312"/>
                <w:sz w:val="28"/>
                <w:szCs w:val="28"/>
                <w:lang w:eastAsia="zh-CN"/>
              </w:rPr>
            </w:pPr>
            <w:bookmarkStart w:id="46" w:name="OLE_LINK47"/>
            <w:r>
              <w:rPr>
                <w:rFonts w:hint="eastAsia" w:ascii="仿宋_GB2312" w:hAnsi="仿宋_GB2312" w:eastAsia="仿宋_GB2312" w:cs="仿宋_GB2312"/>
                <w:sz w:val="28"/>
                <w:szCs w:val="28"/>
                <w:lang w:eastAsia="zh-CN"/>
              </w:rPr>
              <w:t>食品安全国家标准  食品接触用塑料材料及制品</w:t>
            </w:r>
            <w:bookmarkEnd w:id="4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GB 28118</w:t>
            </w:r>
          </w:p>
        </w:tc>
        <w:tc>
          <w:tcPr>
            <w:tcW w:w="5929" w:type="dxa"/>
            <w:vAlign w:val="center"/>
          </w:tcPr>
          <w:p>
            <w:pPr>
              <w:widowControl w:val="0"/>
              <w:spacing w:before="101" w:line="360" w:lineRule="auto"/>
              <w:jc w:val="center"/>
              <w:rPr>
                <w:rFonts w:hint="eastAsia" w:ascii="仿宋_GB2312" w:hAnsi="仿宋_GB2312" w:eastAsia="仿宋_GB2312" w:cs="仿宋_GB2312"/>
                <w:sz w:val="28"/>
                <w:szCs w:val="28"/>
                <w:lang w:eastAsia="zh-CN"/>
              </w:rPr>
            </w:pPr>
            <w:bookmarkStart w:id="47" w:name="OLE_LINK48"/>
            <w:r>
              <w:rPr>
                <w:rFonts w:hint="eastAsia" w:ascii="仿宋_GB2312" w:hAnsi="仿宋_GB2312" w:eastAsia="仿宋_GB2312" w:cs="仿宋_GB2312"/>
                <w:sz w:val="28"/>
                <w:szCs w:val="28"/>
                <w:lang w:eastAsia="zh-CN"/>
              </w:rPr>
              <w:t>食品包装用塑料与铝箔复合膜、袋</w:t>
            </w:r>
            <w:bookmarkEnd w:id="4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GB 14881</w:t>
            </w:r>
          </w:p>
        </w:tc>
        <w:tc>
          <w:tcPr>
            <w:tcW w:w="5929" w:type="dxa"/>
            <w:vAlign w:val="center"/>
          </w:tcPr>
          <w:p>
            <w:pPr>
              <w:widowControl w:val="0"/>
              <w:spacing w:before="101" w:line="360" w:lineRule="auto"/>
              <w:jc w:val="center"/>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食品安全国家标准  食品生产通用卫生规范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z w:val="28"/>
                <w:szCs w:val="28"/>
              </w:rPr>
            </w:pPr>
            <w:bookmarkStart w:id="48" w:name="OLE_LINK49"/>
            <w:r>
              <w:rPr>
                <w:rFonts w:hint="eastAsia" w:ascii="仿宋_GB2312" w:hAnsi="仿宋_GB2312" w:eastAsia="仿宋_GB2312" w:cs="仿宋_GB2312"/>
                <w:sz w:val="28"/>
                <w:szCs w:val="28"/>
              </w:rPr>
              <w:t>JJF 1070</w:t>
            </w:r>
            <w:bookmarkEnd w:id="48"/>
          </w:p>
        </w:tc>
        <w:tc>
          <w:tcPr>
            <w:tcW w:w="5929" w:type="dxa"/>
            <w:vAlign w:val="center"/>
          </w:tcPr>
          <w:p>
            <w:pPr>
              <w:widowControl w:val="0"/>
              <w:spacing w:before="101" w:line="360" w:lineRule="auto"/>
              <w:jc w:val="center"/>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定量包装商品净含量计量检验规则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07" w:type="dxa"/>
            <w:vAlign w:val="center"/>
          </w:tcPr>
          <w:p>
            <w:pPr>
              <w:widowControl w:val="0"/>
              <w:numPr>
                <w:ilvl w:val="0"/>
                <w:numId w:val="3"/>
              </w:numPr>
              <w:spacing w:before="101" w:line="360" w:lineRule="auto"/>
              <w:rPr>
                <w:rFonts w:hint="eastAsia" w:ascii="仿宋_GB2312" w:hAnsi="仿宋_GB2312" w:eastAsia="仿宋_GB2312" w:cs="仿宋_GB2312"/>
                <w:spacing w:val="-3"/>
                <w:sz w:val="28"/>
                <w:szCs w:val="28"/>
                <w:lang w:eastAsia="zh-CN"/>
              </w:rPr>
            </w:pPr>
          </w:p>
        </w:tc>
        <w:tc>
          <w:tcPr>
            <w:tcW w:w="2326" w:type="dxa"/>
            <w:vAlign w:val="center"/>
          </w:tcPr>
          <w:p>
            <w:pPr>
              <w:widowControl w:val="0"/>
              <w:spacing w:before="101" w:line="360" w:lineRule="auto"/>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GB 7718</w:t>
            </w:r>
          </w:p>
        </w:tc>
        <w:tc>
          <w:tcPr>
            <w:tcW w:w="5929" w:type="dxa"/>
            <w:vAlign w:val="center"/>
          </w:tcPr>
          <w:p>
            <w:pPr>
              <w:widowControl w:val="0"/>
              <w:spacing w:before="101" w:line="360" w:lineRule="auto"/>
              <w:jc w:val="center"/>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食品安全国家标准 预包装食品标签通则</w:t>
            </w:r>
          </w:p>
        </w:tc>
      </w:tr>
    </w:tbl>
    <w:p>
      <w:pPr>
        <w:ind w:firstLine="280" w:firstLineChars="1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 xml:space="preserve">注：本表为新食品原料 L-α-甘磷酸胆碱生产涉及的主要标准，仅供参考。  </w:t>
      </w:r>
    </w:p>
    <w:p>
      <w:pPr>
        <w:spacing w:before="101" w:line="360" w:lineRule="auto"/>
        <w:ind w:right="2"/>
        <w:rPr>
          <w:rFonts w:ascii="宋体" w:cs="Times New Roman"/>
          <w:sz w:val="28"/>
          <w:szCs w:val="28"/>
          <w:lang w:eastAsia="zh-CN"/>
        </w:rPr>
        <w:sectPr>
          <w:pgSz w:w="11906" w:h="16838"/>
          <w:pgMar w:top="820" w:right="1474" w:bottom="1118" w:left="1586" w:header="0" w:footer="854" w:gutter="0"/>
          <w:cols w:space="720" w:num="1"/>
        </w:sectPr>
      </w:pPr>
    </w:p>
    <w:p>
      <w:pPr>
        <w:spacing w:line="360" w:lineRule="auto"/>
        <w:rPr>
          <w:rFonts w:ascii="宋体" w:cs="Times New Roman"/>
          <w:spacing w:val="-3"/>
          <w:sz w:val="28"/>
          <w:szCs w:val="28"/>
          <w:lang w:eastAsia="zh-CN"/>
        </w:rPr>
      </w:pPr>
      <w:r>
        <w:rPr>
          <w:rFonts w:hint="eastAsia" w:ascii="宋体" w:hAnsi="宋体" w:cs="Times New Roman"/>
          <w:spacing w:val="-3"/>
          <w:sz w:val="28"/>
          <w:szCs w:val="28"/>
          <w:lang w:eastAsia="zh-CN"/>
        </w:rPr>
        <w:t>附件</w:t>
      </w:r>
      <w:r>
        <w:rPr>
          <w:rFonts w:ascii="宋体" w:hAnsi="宋体" w:cs="Times New Roman"/>
          <w:spacing w:val="-3"/>
          <w:sz w:val="28"/>
          <w:szCs w:val="28"/>
          <w:lang w:eastAsia="zh-CN"/>
        </w:rPr>
        <w:t>3</w:t>
      </w:r>
    </w:p>
    <w:p>
      <w:pPr>
        <w:spacing w:line="360" w:lineRule="auto"/>
        <w:jc w:val="center"/>
        <w:rPr>
          <w:rFonts w:ascii="宋体" w:cs="Times New Roman"/>
          <w:spacing w:val="-3"/>
          <w:sz w:val="28"/>
          <w:szCs w:val="28"/>
          <w:lang w:eastAsia="zh-CN"/>
        </w:rPr>
      </w:pPr>
      <w:r>
        <w:rPr>
          <w:rFonts w:hint="eastAsia" w:ascii="宋体" w:hAnsi="宋体" w:cs="Times New Roman"/>
          <w:spacing w:val="-3"/>
          <w:sz w:val="28"/>
          <w:szCs w:val="28"/>
          <w:lang w:eastAsia="zh-CN"/>
        </w:rPr>
        <w:t>新食品原料</w:t>
      </w:r>
      <w:r>
        <w:rPr>
          <w:rFonts w:ascii="宋体" w:hAnsi="宋体" w:cs="Times New Roman"/>
          <w:spacing w:val="-3"/>
          <w:sz w:val="28"/>
          <w:szCs w:val="28"/>
          <w:lang w:eastAsia="zh-CN"/>
        </w:rPr>
        <w:t xml:space="preserve"> L-</w:t>
      </w:r>
      <w:r>
        <w:rPr>
          <w:rFonts w:hint="eastAsia" w:ascii="宋体" w:hAnsi="宋体" w:cs="Times New Roman"/>
          <w:spacing w:val="-3"/>
          <w:sz w:val="28"/>
          <w:szCs w:val="28"/>
          <w:lang w:eastAsia="zh-CN"/>
        </w:rPr>
        <w:t>α</w:t>
      </w:r>
      <w:r>
        <w:rPr>
          <w:rFonts w:ascii="宋体" w:cs="Times New Roman"/>
          <w:spacing w:val="-3"/>
          <w:sz w:val="28"/>
          <w:szCs w:val="28"/>
          <w:lang w:eastAsia="zh-CN"/>
        </w:rPr>
        <w:t>-</w:t>
      </w:r>
      <w:r>
        <w:rPr>
          <w:rFonts w:hint="eastAsia" w:ascii="宋体" w:hAnsi="宋体" w:cs="Times New Roman"/>
          <w:spacing w:val="-3"/>
          <w:sz w:val="28"/>
          <w:szCs w:val="28"/>
          <w:lang w:eastAsia="zh-CN"/>
        </w:rPr>
        <w:t>甘磷酸胆碱检验项目与标准</w:t>
      </w:r>
    </w:p>
    <w:tbl>
      <w:tblPr>
        <w:tblStyle w:val="5"/>
        <w:tblW w:w="91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1371"/>
        <w:gridCol w:w="1768"/>
        <w:gridCol w:w="3293"/>
        <w:gridCol w:w="1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pPr>
              <w:widowControl w:val="0"/>
              <w:spacing w:line="360" w:lineRule="auto"/>
              <w:jc w:val="center"/>
              <w:rPr>
                <w:rFonts w:ascii="宋体" w:cs="宋体"/>
                <w:b/>
                <w:bCs/>
                <w:sz w:val="28"/>
                <w:szCs w:val="28"/>
                <w:lang w:eastAsia="zh-CN"/>
              </w:rPr>
            </w:pPr>
            <w:r>
              <w:rPr>
                <w:rFonts w:hint="eastAsia" w:ascii="宋体" w:hAnsi="宋体" w:cs="宋体"/>
                <w:b/>
                <w:bCs/>
                <w:sz w:val="28"/>
                <w:szCs w:val="28"/>
                <w:lang w:eastAsia="zh-CN"/>
              </w:rPr>
              <w:t>序号</w:t>
            </w:r>
          </w:p>
        </w:tc>
        <w:tc>
          <w:tcPr>
            <w:tcW w:w="1371" w:type="dxa"/>
            <w:vAlign w:val="center"/>
          </w:tcPr>
          <w:p>
            <w:pPr>
              <w:widowControl w:val="0"/>
              <w:spacing w:line="360" w:lineRule="auto"/>
              <w:jc w:val="center"/>
              <w:rPr>
                <w:rFonts w:ascii="宋体" w:cs="宋体"/>
                <w:b/>
                <w:bCs/>
                <w:sz w:val="28"/>
                <w:szCs w:val="28"/>
                <w:lang w:eastAsia="zh-CN"/>
              </w:rPr>
            </w:pPr>
            <w:r>
              <w:rPr>
                <w:rFonts w:hint="eastAsia" w:ascii="宋体" w:hAnsi="宋体" w:cs="宋体"/>
                <w:b/>
                <w:bCs/>
                <w:sz w:val="28"/>
                <w:szCs w:val="28"/>
                <w:lang w:eastAsia="zh-CN"/>
              </w:rPr>
              <w:t>检验项目</w:t>
            </w:r>
          </w:p>
        </w:tc>
        <w:tc>
          <w:tcPr>
            <w:tcW w:w="1768" w:type="dxa"/>
            <w:vAlign w:val="center"/>
          </w:tcPr>
          <w:p>
            <w:pPr>
              <w:widowControl w:val="0"/>
              <w:spacing w:line="360" w:lineRule="auto"/>
              <w:jc w:val="center"/>
              <w:rPr>
                <w:rFonts w:ascii="宋体" w:cs="宋体"/>
                <w:b/>
                <w:bCs/>
                <w:sz w:val="28"/>
                <w:szCs w:val="28"/>
                <w:lang w:eastAsia="zh-CN"/>
              </w:rPr>
            </w:pPr>
            <w:r>
              <w:rPr>
                <w:rFonts w:hint="eastAsia" w:ascii="宋体" w:hAnsi="宋体" w:cs="宋体"/>
                <w:b/>
                <w:bCs/>
                <w:sz w:val="28"/>
                <w:szCs w:val="28"/>
                <w:lang w:eastAsia="zh-CN"/>
              </w:rPr>
              <w:t>标准号</w:t>
            </w:r>
          </w:p>
        </w:tc>
        <w:tc>
          <w:tcPr>
            <w:tcW w:w="3293" w:type="dxa"/>
            <w:vAlign w:val="center"/>
          </w:tcPr>
          <w:p>
            <w:pPr>
              <w:widowControl w:val="0"/>
              <w:spacing w:line="360" w:lineRule="auto"/>
              <w:jc w:val="center"/>
              <w:rPr>
                <w:rFonts w:ascii="宋体" w:cs="宋体"/>
                <w:b/>
                <w:bCs/>
                <w:sz w:val="28"/>
                <w:szCs w:val="28"/>
                <w:lang w:eastAsia="zh-CN"/>
              </w:rPr>
            </w:pPr>
            <w:r>
              <w:rPr>
                <w:rFonts w:hint="eastAsia" w:ascii="宋体" w:hAnsi="宋体" w:cs="宋体"/>
                <w:b/>
                <w:bCs/>
                <w:sz w:val="28"/>
                <w:szCs w:val="28"/>
                <w:lang w:eastAsia="zh-CN"/>
              </w:rPr>
              <w:t>标准名称</w:t>
            </w:r>
          </w:p>
        </w:tc>
        <w:tc>
          <w:tcPr>
            <w:tcW w:w="1970" w:type="dxa"/>
            <w:vAlign w:val="center"/>
          </w:tcPr>
          <w:p>
            <w:pPr>
              <w:widowControl w:val="0"/>
              <w:spacing w:line="360" w:lineRule="auto"/>
              <w:jc w:val="center"/>
              <w:rPr>
                <w:rFonts w:ascii="宋体" w:cs="宋体"/>
                <w:b/>
                <w:bCs/>
                <w:sz w:val="28"/>
                <w:szCs w:val="28"/>
                <w:lang w:eastAsia="zh-CN"/>
              </w:rPr>
            </w:pPr>
            <w:r>
              <w:rPr>
                <w:rFonts w:hint="eastAsia" w:ascii="宋体" w:hAnsi="宋体" w:cs="宋体"/>
                <w:b/>
                <w:bCs/>
                <w:sz w:val="28"/>
                <w:szCs w:val="28"/>
                <w:lang w:eastAsia="zh-CN"/>
              </w:rPr>
              <w:t>检验方法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pPr>
              <w:widowControl w:val="0"/>
              <w:numPr>
                <w:ilvl w:val="0"/>
                <w:numId w:val="4"/>
              </w:numPr>
              <w:spacing w:before="101" w:line="360" w:lineRule="auto"/>
              <w:rPr>
                <w:rFonts w:hint="eastAsia" w:ascii="仿宋_GB2312" w:hAnsi="仿宋_GB2312" w:eastAsia="仿宋_GB2312" w:cs="仿宋_GB2312"/>
                <w:spacing w:val="-3"/>
                <w:sz w:val="24"/>
                <w:szCs w:val="24"/>
                <w:lang w:eastAsia="zh-CN"/>
              </w:rPr>
            </w:pPr>
            <w:bookmarkStart w:id="49" w:name="OLE_LINK51" w:colFirst="2" w:colLast="3"/>
          </w:p>
        </w:tc>
        <w:tc>
          <w:tcPr>
            <w:tcW w:w="1371"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感官</w:t>
            </w:r>
          </w:p>
        </w:tc>
        <w:tc>
          <w:tcPr>
            <w:tcW w:w="1768" w:type="dxa"/>
            <w:vAlign w:val="center"/>
          </w:tcPr>
          <w:p>
            <w:pPr>
              <w:widowControl w:val="0"/>
              <w:spacing w:before="101" w:line="360" w:lineRule="auto"/>
              <w:jc w:val="center"/>
              <w:rPr>
                <w:rFonts w:hint="eastAsia" w:ascii="仿宋_GB2312" w:hAnsi="仿宋_GB2312" w:eastAsia="仿宋_GB2312" w:cs="仿宋_GB2312"/>
                <w:spacing w:val="-3"/>
                <w:sz w:val="24"/>
                <w:szCs w:val="24"/>
                <w:lang w:eastAsia="zh-CN"/>
              </w:rPr>
            </w:pPr>
            <w:r>
              <w:rPr>
                <w:rFonts w:hint="eastAsia" w:ascii="仿宋_GB2312" w:hAnsi="仿宋_GB2312" w:eastAsia="仿宋_GB2312" w:cs="仿宋_GB2312"/>
                <w:sz w:val="24"/>
                <w:szCs w:val="24"/>
              </w:rPr>
              <w:t>Q/210403JJQ 00</w:t>
            </w:r>
            <w:r>
              <w:rPr>
                <w:rFonts w:hint="eastAsia" w:ascii="仿宋_GB2312" w:hAnsi="仿宋_GB2312" w:eastAsia="仿宋_GB2312" w:cs="仿宋_GB2312"/>
                <w:sz w:val="24"/>
                <w:szCs w:val="24"/>
                <w:lang w:eastAsia="zh-CN"/>
              </w:rPr>
              <w:t>2</w:t>
            </w:r>
          </w:p>
        </w:tc>
        <w:tc>
          <w:tcPr>
            <w:tcW w:w="3293"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新食品原料 L-</w:t>
            </w:r>
            <w:r>
              <w:rPr>
                <w:rFonts w:hint="eastAsia" w:ascii="仿宋_GB2312" w:hAnsi="仿宋_GB2312" w:eastAsia="仿宋_GB2312" w:cs="仿宋_GB2312"/>
                <w:sz w:val="24"/>
                <w:szCs w:val="24"/>
              </w:rPr>
              <w:t>α</w:t>
            </w:r>
            <w:r>
              <w:rPr>
                <w:rFonts w:hint="eastAsia" w:ascii="仿宋_GB2312" w:hAnsi="仿宋_GB2312" w:eastAsia="仿宋_GB2312" w:cs="仿宋_GB2312"/>
                <w:sz w:val="24"/>
                <w:szCs w:val="24"/>
                <w:lang w:eastAsia="zh-CN"/>
              </w:rPr>
              <w:t>-甘磷酸胆碱</w:t>
            </w:r>
          </w:p>
        </w:tc>
        <w:tc>
          <w:tcPr>
            <w:tcW w:w="1970"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Q/210403JJQ 00</w:t>
            </w:r>
            <w:r>
              <w:rPr>
                <w:rFonts w:hint="eastAsia" w:ascii="仿宋_GB2312" w:hAnsi="仿宋_GB2312" w:eastAsia="仿宋_GB2312" w:cs="仿宋_GB2312"/>
                <w:sz w:val="24"/>
                <w:szCs w:val="24"/>
                <w:lang w:eastAsia="zh-CN"/>
              </w:rPr>
              <w:t>2</w:t>
            </w:r>
          </w:p>
        </w:tc>
      </w:tr>
      <w:bookmarkEnd w:id="49"/>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pPr>
              <w:widowControl w:val="0"/>
              <w:numPr>
                <w:ilvl w:val="0"/>
                <w:numId w:val="4"/>
              </w:numPr>
              <w:spacing w:before="101" w:line="360" w:lineRule="auto"/>
              <w:rPr>
                <w:rFonts w:hint="eastAsia" w:ascii="仿宋_GB2312" w:hAnsi="仿宋_GB2312" w:eastAsia="仿宋_GB2312" w:cs="仿宋_GB2312"/>
                <w:spacing w:val="-3"/>
                <w:sz w:val="24"/>
                <w:szCs w:val="24"/>
                <w:lang w:eastAsia="zh-CN"/>
              </w:rPr>
            </w:pPr>
            <w:bookmarkStart w:id="50" w:name="OLE_LINK37" w:colFirst="4" w:colLast="4"/>
          </w:p>
        </w:tc>
        <w:tc>
          <w:tcPr>
            <w:tcW w:w="1371" w:type="dxa"/>
            <w:vAlign w:val="center"/>
          </w:tcPr>
          <w:p>
            <w:pPr>
              <w:widowControl w:val="0"/>
              <w:jc w:val="center"/>
              <w:rPr>
                <w:rFonts w:hint="eastAsia" w:ascii="仿宋_GB2312" w:hAnsi="仿宋_GB2312" w:eastAsia="仿宋_GB2312" w:cs="仿宋_GB2312"/>
                <w:w w:val="90"/>
                <w:sz w:val="24"/>
                <w:szCs w:val="24"/>
                <w:lang w:eastAsia="zh-CN"/>
              </w:rPr>
            </w:pPr>
            <w:r>
              <w:rPr>
                <w:rFonts w:hint="eastAsia" w:ascii="仿宋_GB2312" w:hAnsi="仿宋_GB2312" w:eastAsia="仿宋_GB2312" w:cs="仿宋_GB2312"/>
                <w:sz w:val="24"/>
                <w:szCs w:val="24"/>
                <w:lang w:eastAsia="zh-CN"/>
              </w:rPr>
              <w:t>L-</w:t>
            </w:r>
            <w:r>
              <w:rPr>
                <w:rFonts w:hint="eastAsia" w:ascii="仿宋_GB2312" w:hAnsi="仿宋_GB2312" w:eastAsia="仿宋_GB2312" w:cs="仿宋_GB2312"/>
                <w:sz w:val="24"/>
                <w:szCs w:val="24"/>
              </w:rPr>
              <w:t>α</w:t>
            </w:r>
            <w:r>
              <w:rPr>
                <w:rFonts w:hint="eastAsia" w:ascii="仿宋_GB2312" w:hAnsi="仿宋_GB2312" w:eastAsia="仿宋_GB2312" w:cs="仿宋_GB2312"/>
                <w:sz w:val="24"/>
                <w:szCs w:val="24"/>
                <w:lang w:eastAsia="zh-CN"/>
              </w:rPr>
              <w:t>-甘磷酸胆碱含量(以干基计)</w:t>
            </w:r>
          </w:p>
        </w:tc>
        <w:tc>
          <w:tcPr>
            <w:tcW w:w="1768" w:type="dxa"/>
            <w:vAlign w:val="center"/>
          </w:tcPr>
          <w:p>
            <w:pPr>
              <w:widowControl w:val="0"/>
              <w:spacing w:before="101" w:line="360" w:lineRule="auto"/>
              <w:jc w:val="center"/>
              <w:rPr>
                <w:rFonts w:hint="eastAsia" w:ascii="仿宋_GB2312" w:hAnsi="仿宋_GB2312" w:eastAsia="仿宋_GB2312" w:cs="仿宋_GB2312"/>
                <w:spacing w:val="-3"/>
                <w:sz w:val="24"/>
                <w:szCs w:val="24"/>
                <w:lang w:eastAsia="zh-CN"/>
              </w:rPr>
            </w:pPr>
            <w:r>
              <w:rPr>
                <w:rFonts w:hint="eastAsia" w:ascii="仿宋_GB2312" w:hAnsi="仿宋_GB2312" w:eastAsia="仿宋_GB2312" w:cs="仿宋_GB2312"/>
                <w:sz w:val="24"/>
                <w:szCs w:val="24"/>
              </w:rPr>
              <w:t>Q/210403JJQ 00</w:t>
            </w:r>
            <w:r>
              <w:rPr>
                <w:rFonts w:hint="eastAsia" w:ascii="仿宋_GB2312" w:hAnsi="仿宋_GB2312" w:eastAsia="仿宋_GB2312" w:cs="仿宋_GB2312"/>
                <w:sz w:val="24"/>
                <w:szCs w:val="24"/>
                <w:lang w:eastAsia="zh-CN"/>
              </w:rPr>
              <w:t>2</w:t>
            </w:r>
          </w:p>
        </w:tc>
        <w:tc>
          <w:tcPr>
            <w:tcW w:w="3293"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新食品原料 L-</w:t>
            </w:r>
            <w:r>
              <w:rPr>
                <w:rFonts w:hint="eastAsia" w:ascii="仿宋_GB2312" w:hAnsi="仿宋_GB2312" w:eastAsia="仿宋_GB2312" w:cs="仿宋_GB2312"/>
                <w:sz w:val="24"/>
                <w:szCs w:val="24"/>
              </w:rPr>
              <w:t>α</w:t>
            </w:r>
            <w:r>
              <w:rPr>
                <w:rFonts w:hint="eastAsia" w:ascii="仿宋_GB2312" w:hAnsi="仿宋_GB2312" w:eastAsia="仿宋_GB2312" w:cs="仿宋_GB2312"/>
                <w:sz w:val="24"/>
                <w:szCs w:val="24"/>
                <w:lang w:eastAsia="zh-CN"/>
              </w:rPr>
              <w:t>-甘磷酸胆碱</w:t>
            </w:r>
          </w:p>
        </w:tc>
        <w:tc>
          <w:tcPr>
            <w:tcW w:w="1970"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国家卫生健康委公告[2024]第2号附录A</w:t>
            </w:r>
          </w:p>
        </w:tc>
      </w:tr>
      <w:bookmarkEnd w:id="5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1" w:type="dxa"/>
            <w:vAlign w:val="center"/>
          </w:tcPr>
          <w:p>
            <w:pPr>
              <w:widowControl w:val="0"/>
              <w:numPr>
                <w:ilvl w:val="0"/>
                <w:numId w:val="4"/>
              </w:numPr>
              <w:spacing w:before="101" w:line="360" w:lineRule="auto"/>
              <w:rPr>
                <w:rFonts w:hint="eastAsia" w:ascii="仿宋_GB2312" w:hAnsi="仿宋_GB2312" w:eastAsia="仿宋_GB2312" w:cs="仿宋_GB2312"/>
                <w:spacing w:val="-3"/>
                <w:sz w:val="24"/>
                <w:szCs w:val="24"/>
                <w:lang w:eastAsia="zh-CN"/>
              </w:rPr>
            </w:pPr>
          </w:p>
        </w:tc>
        <w:tc>
          <w:tcPr>
            <w:tcW w:w="1371" w:type="dxa"/>
            <w:vAlign w:val="center"/>
          </w:tcPr>
          <w:p>
            <w:pPr>
              <w:widowControl w:val="0"/>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pH值</w:t>
            </w:r>
          </w:p>
        </w:tc>
        <w:tc>
          <w:tcPr>
            <w:tcW w:w="1768" w:type="dxa"/>
            <w:vAlign w:val="center"/>
          </w:tcPr>
          <w:p>
            <w:pPr>
              <w:widowControl w:val="0"/>
              <w:spacing w:before="101" w:line="360" w:lineRule="auto"/>
              <w:jc w:val="center"/>
              <w:rPr>
                <w:rFonts w:hint="eastAsia" w:ascii="仿宋_GB2312" w:hAnsi="仿宋_GB2312" w:eastAsia="仿宋_GB2312" w:cs="仿宋_GB2312"/>
                <w:spacing w:val="-3"/>
                <w:sz w:val="24"/>
                <w:szCs w:val="24"/>
                <w:highlight w:val="none"/>
                <w:lang w:eastAsia="zh-CN"/>
              </w:rPr>
            </w:pPr>
            <w:r>
              <w:rPr>
                <w:rFonts w:hint="eastAsia" w:ascii="仿宋_GB2312" w:hAnsi="仿宋_GB2312" w:eastAsia="仿宋_GB2312" w:cs="仿宋_GB2312"/>
                <w:sz w:val="24"/>
                <w:szCs w:val="24"/>
                <w:highlight w:val="none"/>
              </w:rPr>
              <w:t>Q/210403JJQ 00</w:t>
            </w:r>
            <w:r>
              <w:rPr>
                <w:rFonts w:hint="eastAsia" w:ascii="仿宋_GB2312" w:hAnsi="仿宋_GB2312" w:eastAsia="仿宋_GB2312" w:cs="仿宋_GB2312"/>
                <w:sz w:val="24"/>
                <w:szCs w:val="24"/>
                <w:highlight w:val="none"/>
                <w:lang w:eastAsia="zh-CN"/>
              </w:rPr>
              <w:t>2</w:t>
            </w:r>
          </w:p>
        </w:tc>
        <w:tc>
          <w:tcPr>
            <w:tcW w:w="3293" w:type="dxa"/>
            <w:vAlign w:val="center"/>
          </w:tcPr>
          <w:p>
            <w:pPr>
              <w:widowControl w:val="0"/>
              <w:spacing w:line="360" w:lineRule="auto"/>
              <w:jc w:val="center"/>
              <w:rPr>
                <w:rFonts w:hint="eastAsia" w:ascii="仿宋_GB2312" w:hAnsi="仿宋_GB2312" w:eastAsia="仿宋_GB2312" w:cs="仿宋_GB2312"/>
                <w:sz w:val="24"/>
                <w:szCs w:val="24"/>
                <w:highlight w:val="none"/>
                <w:lang w:eastAsia="zh-CN"/>
              </w:rPr>
            </w:pPr>
            <w:r>
              <w:rPr>
                <w:rFonts w:hint="eastAsia" w:ascii="仿宋_GB2312" w:hAnsi="仿宋_GB2312" w:eastAsia="仿宋_GB2312" w:cs="仿宋_GB2312"/>
                <w:sz w:val="24"/>
                <w:szCs w:val="24"/>
                <w:highlight w:val="none"/>
                <w:lang w:eastAsia="zh-CN"/>
              </w:rPr>
              <w:t>新食品原料 L-</w:t>
            </w:r>
            <w:r>
              <w:rPr>
                <w:rFonts w:hint="eastAsia" w:ascii="仿宋_GB2312" w:hAnsi="仿宋_GB2312" w:eastAsia="仿宋_GB2312" w:cs="仿宋_GB2312"/>
                <w:sz w:val="24"/>
                <w:szCs w:val="24"/>
                <w:highlight w:val="none"/>
              </w:rPr>
              <w:t>α</w:t>
            </w:r>
            <w:r>
              <w:rPr>
                <w:rFonts w:hint="eastAsia" w:ascii="仿宋_GB2312" w:hAnsi="仿宋_GB2312" w:eastAsia="仿宋_GB2312" w:cs="仿宋_GB2312"/>
                <w:sz w:val="24"/>
                <w:szCs w:val="24"/>
                <w:highlight w:val="none"/>
                <w:lang w:eastAsia="zh-CN"/>
              </w:rPr>
              <w:t>-甘磷酸胆碱</w:t>
            </w:r>
          </w:p>
        </w:tc>
        <w:tc>
          <w:tcPr>
            <w:tcW w:w="1970"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GB 5009.237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pPr>
              <w:widowControl w:val="0"/>
              <w:numPr>
                <w:ilvl w:val="0"/>
                <w:numId w:val="4"/>
              </w:numPr>
              <w:spacing w:before="101" w:line="360" w:lineRule="auto"/>
              <w:rPr>
                <w:rFonts w:hint="eastAsia" w:ascii="仿宋_GB2312" w:hAnsi="仿宋_GB2312" w:eastAsia="仿宋_GB2312" w:cs="仿宋_GB2312"/>
                <w:spacing w:val="-3"/>
                <w:sz w:val="24"/>
                <w:szCs w:val="24"/>
                <w:lang w:eastAsia="zh-CN"/>
              </w:rPr>
            </w:pPr>
          </w:p>
        </w:tc>
        <w:tc>
          <w:tcPr>
            <w:tcW w:w="1371" w:type="dxa"/>
            <w:vAlign w:val="center"/>
          </w:tcPr>
          <w:p>
            <w:pPr>
              <w:widowControl w:val="0"/>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水分</w:t>
            </w:r>
          </w:p>
        </w:tc>
        <w:tc>
          <w:tcPr>
            <w:tcW w:w="1768" w:type="dxa"/>
            <w:vAlign w:val="center"/>
          </w:tcPr>
          <w:p>
            <w:pPr>
              <w:widowControl w:val="0"/>
              <w:spacing w:before="101" w:line="360" w:lineRule="auto"/>
              <w:jc w:val="center"/>
              <w:rPr>
                <w:rFonts w:hint="eastAsia" w:ascii="仿宋_GB2312" w:hAnsi="仿宋_GB2312" w:eastAsia="仿宋_GB2312" w:cs="仿宋_GB2312"/>
                <w:spacing w:val="-3"/>
                <w:sz w:val="24"/>
                <w:szCs w:val="24"/>
                <w:highlight w:val="none"/>
                <w:lang w:eastAsia="zh-CN"/>
              </w:rPr>
            </w:pPr>
            <w:r>
              <w:rPr>
                <w:rFonts w:hint="eastAsia" w:ascii="仿宋_GB2312" w:hAnsi="仿宋_GB2312" w:eastAsia="仿宋_GB2312" w:cs="仿宋_GB2312"/>
                <w:sz w:val="24"/>
                <w:szCs w:val="24"/>
                <w:highlight w:val="none"/>
              </w:rPr>
              <w:t>Q/210403JJQ 00</w:t>
            </w:r>
            <w:r>
              <w:rPr>
                <w:rFonts w:hint="eastAsia" w:ascii="仿宋_GB2312" w:hAnsi="仿宋_GB2312" w:eastAsia="仿宋_GB2312" w:cs="仿宋_GB2312"/>
                <w:sz w:val="24"/>
                <w:szCs w:val="24"/>
                <w:highlight w:val="none"/>
                <w:lang w:eastAsia="zh-CN"/>
              </w:rPr>
              <w:t>2</w:t>
            </w:r>
          </w:p>
        </w:tc>
        <w:tc>
          <w:tcPr>
            <w:tcW w:w="3293" w:type="dxa"/>
            <w:vAlign w:val="center"/>
          </w:tcPr>
          <w:p>
            <w:pPr>
              <w:widowControl w:val="0"/>
              <w:spacing w:line="360" w:lineRule="auto"/>
              <w:jc w:val="center"/>
              <w:rPr>
                <w:rFonts w:hint="eastAsia" w:ascii="仿宋_GB2312" w:hAnsi="仿宋_GB2312" w:eastAsia="仿宋_GB2312" w:cs="仿宋_GB2312"/>
                <w:sz w:val="24"/>
                <w:szCs w:val="24"/>
                <w:highlight w:val="none"/>
                <w:lang w:eastAsia="zh-CN"/>
              </w:rPr>
            </w:pPr>
            <w:r>
              <w:rPr>
                <w:rFonts w:hint="eastAsia" w:ascii="仿宋_GB2312" w:hAnsi="仿宋_GB2312" w:eastAsia="仿宋_GB2312" w:cs="仿宋_GB2312"/>
                <w:sz w:val="24"/>
                <w:szCs w:val="24"/>
                <w:highlight w:val="none"/>
                <w:lang w:eastAsia="zh-CN"/>
              </w:rPr>
              <w:t>新食品原料 L-</w:t>
            </w:r>
            <w:r>
              <w:rPr>
                <w:rFonts w:hint="eastAsia" w:ascii="仿宋_GB2312" w:hAnsi="仿宋_GB2312" w:eastAsia="仿宋_GB2312" w:cs="仿宋_GB2312"/>
                <w:sz w:val="24"/>
                <w:szCs w:val="24"/>
                <w:highlight w:val="none"/>
              </w:rPr>
              <w:t>α</w:t>
            </w:r>
            <w:r>
              <w:rPr>
                <w:rFonts w:hint="eastAsia" w:ascii="仿宋_GB2312" w:hAnsi="仿宋_GB2312" w:eastAsia="仿宋_GB2312" w:cs="仿宋_GB2312"/>
                <w:sz w:val="24"/>
                <w:szCs w:val="24"/>
                <w:highlight w:val="none"/>
                <w:lang w:eastAsia="zh-CN"/>
              </w:rPr>
              <w:t>-甘磷酸胆碱</w:t>
            </w:r>
          </w:p>
        </w:tc>
        <w:tc>
          <w:tcPr>
            <w:tcW w:w="1970"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GB</w:t>
            </w:r>
            <w:r>
              <w:rPr>
                <w:rFonts w:hint="eastAsia" w:ascii="仿宋_GB2312" w:hAnsi="仿宋_GB2312" w:eastAsia="仿宋_GB2312" w:cs="仿宋_GB2312"/>
                <w:sz w:val="24"/>
                <w:szCs w:val="24"/>
                <w:lang w:eastAsia="zh-CN"/>
              </w:rPr>
              <w:t xml:space="preserve"> </w:t>
            </w:r>
            <w:r>
              <w:rPr>
                <w:rFonts w:hint="eastAsia" w:ascii="仿宋_GB2312" w:hAnsi="仿宋_GB2312" w:eastAsia="仿宋_GB2312" w:cs="仿宋_GB2312"/>
                <w:sz w:val="24"/>
                <w:szCs w:val="24"/>
              </w:rPr>
              <w:t>5009.3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pPr>
              <w:widowControl w:val="0"/>
              <w:numPr>
                <w:ilvl w:val="0"/>
                <w:numId w:val="4"/>
              </w:numPr>
              <w:spacing w:before="101" w:line="360" w:lineRule="auto"/>
              <w:rPr>
                <w:rFonts w:hint="eastAsia" w:ascii="仿宋_GB2312" w:hAnsi="仿宋_GB2312" w:eastAsia="仿宋_GB2312" w:cs="仿宋_GB2312"/>
                <w:spacing w:val="-3"/>
                <w:sz w:val="24"/>
                <w:szCs w:val="24"/>
                <w:lang w:eastAsia="zh-CN"/>
              </w:rPr>
            </w:pPr>
          </w:p>
        </w:tc>
        <w:tc>
          <w:tcPr>
            <w:tcW w:w="1371" w:type="dxa"/>
            <w:vAlign w:val="center"/>
          </w:tcPr>
          <w:p>
            <w:pPr>
              <w:widowControl w:val="0"/>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胆碱</w:t>
            </w:r>
          </w:p>
        </w:tc>
        <w:tc>
          <w:tcPr>
            <w:tcW w:w="1768" w:type="dxa"/>
            <w:vAlign w:val="center"/>
          </w:tcPr>
          <w:p>
            <w:pPr>
              <w:widowControl w:val="0"/>
              <w:spacing w:before="101" w:line="360" w:lineRule="auto"/>
              <w:jc w:val="center"/>
              <w:rPr>
                <w:rFonts w:hint="eastAsia" w:ascii="仿宋_GB2312" w:hAnsi="仿宋_GB2312" w:eastAsia="仿宋_GB2312" w:cs="仿宋_GB2312"/>
                <w:spacing w:val="-3"/>
                <w:sz w:val="24"/>
                <w:szCs w:val="24"/>
                <w:highlight w:val="none"/>
                <w:lang w:eastAsia="zh-CN"/>
              </w:rPr>
            </w:pPr>
            <w:r>
              <w:rPr>
                <w:rFonts w:hint="eastAsia" w:ascii="仿宋_GB2312" w:hAnsi="仿宋_GB2312" w:eastAsia="仿宋_GB2312" w:cs="仿宋_GB2312"/>
                <w:sz w:val="24"/>
                <w:szCs w:val="24"/>
                <w:highlight w:val="none"/>
              </w:rPr>
              <w:t>Q/210403JJQ 00</w:t>
            </w:r>
            <w:r>
              <w:rPr>
                <w:rFonts w:hint="eastAsia" w:ascii="仿宋_GB2312" w:hAnsi="仿宋_GB2312" w:eastAsia="仿宋_GB2312" w:cs="仿宋_GB2312"/>
                <w:sz w:val="24"/>
                <w:szCs w:val="24"/>
                <w:highlight w:val="none"/>
                <w:lang w:eastAsia="zh-CN"/>
              </w:rPr>
              <w:t>2</w:t>
            </w:r>
          </w:p>
        </w:tc>
        <w:tc>
          <w:tcPr>
            <w:tcW w:w="3293" w:type="dxa"/>
            <w:vAlign w:val="center"/>
          </w:tcPr>
          <w:p>
            <w:pPr>
              <w:widowControl w:val="0"/>
              <w:spacing w:line="360" w:lineRule="auto"/>
              <w:jc w:val="center"/>
              <w:rPr>
                <w:rFonts w:hint="eastAsia" w:ascii="仿宋_GB2312" w:hAnsi="仿宋_GB2312" w:eastAsia="仿宋_GB2312" w:cs="仿宋_GB2312"/>
                <w:sz w:val="24"/>
                <w:szCs w:val="24"/>
                <w:highlight w:val="none"/>
                <w:lang w:eastAsia="zh-CN"/>
              </w:rPr>
            </w:pPr>
            <w:r>
              <w:rPr>
                <w:rFonts w:hint="eastAsia" w:ascii="仿宋_GB2312" w:hAnsi="仿宋_GB2312" w:eastAsia="仿宋_GB2312" w:cs="仿宋_GB2312"/>
                <w:sz w:val="24"/>
                <w:szCs w:val="24"/>
                <w:highlight w:val="none"/>
                <w:lang w:eastAsia="zh-CN"/>
              </w:rPr>
              <w:t>新食品原料 L-</w:t>
            </w:r>
            <w:r>
              <w:rPr>
                <w:rFonts w:hint="eastAsia" w:ascii="仿宋_GB2312" w:hAnsi="仿宋_GB2312" w:eastAsia="仿宋_GB2312" w:cs="仿宋_GB2312"/>
                <w:sz w:val="24"/>
                <w:szCs w:val="24"/>
                <w:highlight w:val="none"/>
              </w:rPr>
              <w:t>α</w:t>
            </w:r>
            <w:r>
              <w:rPr>
                <w:rFonts w:hint="eastAsia" w:ascii="仿宋_GB2312" w:hAnsi="仿宋_GB2312" w:eastAsia="仿宋_GB2312" w:cs="仿宋_GB2312"/>
                <w:sz w:val="24"/>
                <w:szCs w:val="24"/>
                <w:highlight w:val="none"/>
                <w:lang w:eastAsia="zh-CN"/>
              </w:rPr>
              <w:t>-甘磷酸胆碱</w:t>
            </w:r>
          </w:p>
        </w:tc>
        <w:tc>
          <w:tcPr>
            <w:tcW w:w="1970"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GB</w:t>
            </w:r>
            <w:r>
              <w:rPr>
                <w:rFonts w:hint="eastAsia" w:ascii="仿宋_GB2312" w:hAnsi="仿宋_GB2312" w:eastAsia="仿宋_GB2312" w:cs="仿宋_GB2312"/>
                <w:sz w:val="24"/>
                <w:szCs w:val="24"/>
                <w:lang w:eastAsia="zh-CN"/>
              </w:rPr>
              <w:t xml:space="preserve"> </w:t>
            </w:r>
            <w:r>
              <w:rPr>
                <w:rFonts w:hint="eastAsia" w:ascii="仿宋_GB2312" w:hAnsi="仿宋_GB2312" w:eastAsia="仿宋_GB2312" w:cs="仿宋_GB2312"/>
                <w:sz w:val="24"/>
                <w:szCs w:val="24"/>
              </w:rPr>
              <w:t>5</w:t>
            </w:r>
            <w:r>
              <w:rPr>
                <w:rFonts w:hint="eastAsia" w:ascii="仿宋_GB2312" w:hAnsi="仿宋_GB2312" w:eastAsia="仿宋_GB2312" w:cs="仿宋_GB2312"/>
                <w:sz w:val="24"/>
                <w:szCs w:val="24"/>
                <w:lang w:eastAsia="zh-CN"/>
              </w:rPr>
              <w:t>413</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pPr>
              <w:widowControl w:val="0"/>
              <w:numPr>
                <w:ilvl w:val="0"/>
                <w:numId w:val="4"/>
              </w:numPr>
              <w:spacing w:before="101" w:line="360" w:lineRule="auto"/>
              <w:rPr>
                <w:rFonts w:hint="eastAsia" w:ascii="仿宋_GB2312" w:hAnsi="仿宋_GB2312" w:eastAsia="仿宋_GB2312" w:cs="仿宋_GB2312"/>
                <w:spacing w:val="-3"/>
                <w:sz w:val="24"/>
                <w:szCs w:val="24"/>
                <w:lang w:eastAsia="zh-CN"/>
              </w:rPr>
            </w:pPr>
          </w:p>
        </w:tc>
        <w:tc>
          <w:tcPr>
            <w:tcW w:w="1371" w:type="dxa"/>
            <w:vAlign w:val="center"/>
          </w:tcPr>
          <w:p>
            <w:pPr>
              <w:widowControl w:val="0"/>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β-甘磷酸胆碱</w:t>
            </w:r>
          </w:p>
        </w:tc>
        <w:tc>
          <w:tcPr>
            <w:tcW w:w="1768" w:type="dxa"/>
            <w:vAlign w:val="center"/>
          </w:tcPr>
          <w:p>
            <w:pPr>
              <w:widowControl w:val="0"/>
              <w:spacing w:before="101" w:line="360" w:lineRule="auto"/>
              <w:jc w:val="center"/>
              <w:rPr>
                <w:rFonts w:hint="eastAsia" w:ascii="仿宋_GB2312" w:hAnsi="仿宋_GB2312" w:eastAsia="仿宋_GB2312" w:cs="仿宋_GB2312"/>
                <w:spacing w:val="-3"/>
                <w:sz w:val="24"/>
                <w:szCs w:val="24"/>
                <w:lang w:eastAsia="zh-CN"/>
              </w:rPr>
            </w:pPr>
            <w:r>
              <w:rPr>
                <w:rFonts w:hint="eastAsia" w:ascii="仿宋_GB2312" w:hAnsi="仿宋_GB2312" w:eastAsia="仿宋_GB2312" w:cs="仿宋_GB2312"/>
                <w:sz w:val="24"/>
                <w:szCs w:val="24"/>
              </w:rPr>
              <w:t>Q/210403JJQ 00</w:t>
            </w:r>
            <w:r>
              <w:rPr>
                <w:rFonts w:hint="eastAsia" w:ascii="仿宋_GB2312" w:hAnsi="仿宋_GB2312" w:eastAsia="仿宋_GB2312" w:cs="仿宋_GB2312"/>
                <w:sz w:val="24"/>
                <w:szCs w:val="24"/>
                <w:lang w:eastAsia="zh-CN"/>
              </w:rPr>
              <w:t>2</w:t>
            </w:r>
          </w:p>
        </w:tc>
        <w:tc>
          <w:tcPr>
            <w:tcW w:w="3293"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新食品原料 L-</w:t>
            </w:r>
            <w:r>
              <w:rPr>
                <w:rFonts w:hint="eastAsia" w:ascii="仿宋_GB2312" w:hAnsi="仿宋_GB2312" w:eastAsia="仿宋_GB2312" w:cs="仿宋_GB2312"/>
                <w:sz w:val="24"/>
                <w:szCs w:val="24"/>
              </w:rPr>
              <w:t>α</w:t>
            </w:r>
            <w:r>
              <w:rPr>
                <w:rFonts w:hint="eastAsia" w:ascii="仿宋_GB2312" w:hAnsi="仿宋_GB2312" w:eastAsia="仿宋_GB2312" w:cs="仿宋_GB2312"/>
                <w:sz w:val="24"/>
                <w:szCs w:val="24"/>
                <w:lang w:eastAsia="zh-CN"/>
              </w:rPr>
              <w:t>-甘磷酸胆碱</w:t>
            </w:r>
          </w:p>
        </w:tc>
        <w:tc>
          <w:tcPr>
            <w:tcW w:w="1970"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国家卫生健康委公告[2024]第2号附录B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1" w:type="dxa"/>
            <w:vAlign w:val="center"/>
          </w:tcPr>
          <w:p>
            <w:pPr>
              <w:widowControl w:val="0"/>
              <w:numPr>
                <w:ilvl w:val="0"/>
                <w:numId w:val="4"/>
              </w:numPr>
              <w:spacing w:before="101" w:line="360" w:lineRule="auto"/>
              <w:rPr>
                <w:rFonts w:hint="eastAsia" w:ascii="仿宋_GB2312" w:hAnsi="仿宋_GB2312" w:eastAsia="仿宋_GB2312" w:cs="仿宋_GB2312"/>
                <w:spacing w:val="-3"/>
                <w:sz w:val="24"/>
                <w:szCs w:val="24"/>
                <w:lang w:eastAsia="zh-CN"/>
              </w:rPr>
            </w:pPr>
          </w:p>
        </w:tc>
        <w:tc>
          <w:tcPr>
            <w:tcW w:w="1371" w:type="dxa"/>
            <w:vAlign w:val="center"/>
          </w:tcPr>
          <w:p>
            <w:pPr>
              <w:widowControl w:val="0"/>
              <w:jc w:val="center"/>
              <w:rPr>
                <w:rFonts w:hint="eastAsia" w:ascii="仿宋_GB2312" w:hAnsi="仿宋_GB2312" w:eastAsia="仿宋_GB2312" w:cs="仿宋_GB2312"/>
                <w:kern w:val="2"/>
                <w:sz w:val="24"/>
                <w:szCs w:val="24"/>
                <w:lang w:eastAsia="zh-CN"/>
              </w:rPr>
            </w:pPr>
            <w:r>
              <w:rPr>
                <w:rFonts w:hint="eastAsia" w:ascii="仿宋_GB2312" w:hAnsi="仿宋_GB2312" w:eastAsia="仿宋_GB2312" w:cs="仿宋_GB2312"/>
                <w:sz w:val="24"/>
                <w:szCs w:val="24"/>
                <w:lang w:eastAsia="zh-CN"/>
              </w:rPr>
              <w:t>D-α-甘磷酸胆碱</w:t>
            </w:r>
          </w:p>
        </w:tc>
        <w:tc>
          <w:tcPr>
            <w:tcW w:w="1768" w:type="dxa"/>
            <w:vAlign w:val="center"/>
          </w:tcPr>
          <w:p>
            <w:pPr>
              <w:widowControl w:val="0"/>
              <w:spacing w:before="101" w:line="360" w:lineRule="auto"/>
              <w:jc w:val="center"/>
              <w:rPr>
                <w:rFonts w:hint="eastAsia" w:ascii="仿宋_GB2312" w:hAnsi="仿宋_GB2312" w:eastAsia="仿宋_GB2312" w:cs="仿宋_GB2312"/>
                <w:spacing w:val="-3"/>
                <w:sz w:val="24"/>
                <w:szCs w:val="24"/>
                <w:lang w:eastAsia="zh-CN"/>
              </w:rPr>
            </w:pPr>
            <w:r>
              <w:rPr>
                <w:rFonts w:hint="eastAsia" w:ascii="仿宋_GB2312" w:hAnsi="仿宋_GB2312" w:eastAsia="仿宋_GB2312" w:cs="仿宋_GB2312"/>
                <w:sz w:val="24"/>
                <w:szCs w:val="24"/>
              </w:rPr>
              <w:t>Q/210403JJQ 00</w:t>
            </w:r>
            <w:r>
              <w:rPr>
                <w:rFonts w:hint="eastAsia" w:ascii="仿宋_GB2312" w:hAnsi="仿宋_GB2312" w:eastAsia="仿宋_GB2312" w:cs="仿宋_GB2312"/>
                <w:sz w:val="24"/>
                <w:szCs w:val="24"/>
                <w:lang w:eastAsia="zh-CN"/>
              </w:rPr>
              <w:t>2</w:t>
            </w:r>
          </w:p>
        </w:tc>
        <w:tc>
          <w:tcPr>
            <w:tcW w:w="3293"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新食品原料 L-</w:t>
            </w:r>
            <w:r>
              <w:rPr>
                <w:rFonts w:hint="eastAsia" w:ascii="仿宋_GB2312" w:hAnsi="仿宋_GB2312" w:eastAsia="仿宋_GB2312" w:cs="仿宋_GB2312"/>
                <w:sz w:val="24"/>
                <w:szCs w:val="24"/>
              </w:rPr>
              <w:t>α</w:t>
            </w:r>
            <w:r>
              <w:rPr>
                <w:rFonts w:hint="eastAsia" w:ascii="仿宋_GB2312" w:hAnsi="仿宋_GB2312" w:eastAsia="仿宋_GB2312" w:cs="仿宋_GB2312"/>
                <w:sz w:val="24"/>
                <w:szCs w:val="24"/>
                <w:lang w:eastAsia="zh-CN"/>
              </w:rPr>
              <w:t>-甘磷酸胆碱</w:t>
            </w:r>
          </w:p>
        </w:tc>
        <w:tc>
          <w:tcPr>
            <w:tcW w:w="1970"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国家卫生健康委公告[2024]第2号附录C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pPr>
              <w:widowControl w:val="0"/>
              <w:numPr>
                <w:ilvl w:val="0"/>
                <w:numId w:val="4"/>
              </w:numPr>
              <w:spacing w:before="101" w:line="360" w:lineRule="auto"/>
              <w:jc w:val="center"/>
              <w:rPr>
                <w:rFonts w:hint="eastAsia" w:ascii="仿宋_GB2312" w:hAnsi="仿宋_GB2312" w:eastAsia="仿宋_GB2312" w:cs="仿宋_GB2312"/>
                <w:spacing w:val="-3"/>
                <w:sz w:val="24"/>
                <w:szCs w:val="24"/>
                <w:lang w:eastAsia="zh-CN"/>
              </w:rPr>
            </w:pPr>
          </w:p>
        </w:tc>
        <w:tc>
          <w:tcPr>
            <w:tcW w:w="1371" w:type="dxa"/>
            <w:vAlign w:val="center"/>
          </w:tcPr>
          <w:p>
            <w:pPr>
              <w:widowControl w:val="0"/>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pacing w:val="32"/>
                <w:sz w:val="24"/>
                <w:szCs w:val="24"/>
              </w:rPr>
              <w:t>氯</w:t>
            </w:r>
            <w:r>
              <w:rPr>
                <w:rFonts w:hint="eastAsia" w:ascii="仿宋_GB2312" w:hAnsi="仿宋_GB2312" w:eastAsia="仿宋_GB2312" w:cs="仿宋_GB2312"/>
                <w:spacing w:val="25"/>
                <w:sz w:val="24"/>
                <w:szCs w:val="24"/>
              </w:rPr>
              <w:t>化物(以</w:t>
            </w:r>
            <w:r>
              <w:rPr>
                <w:rFonts w:hint="eastAsia" w:ascii="仿宋_GB2312" w:hAnsi="仿宋_GB2312" w:eastAsia="仿宋_GB2312" w:cs="仿宋_GB2312"/>
                <w:sz w:val="24"/>
                <w:szCs w:val="24"/>
              </w:rPr>
              <w:t>Cl</w:t>
            </w:r>
            <w:r>
              <w:rPr>
                <w:rFonts w:hint="eastAsia" w:ascii="仿宋_GB2312" w:hAnsi="仿宋_GB2312" w:eastAsia="仿宋_GB2312" w:cs="仿宋_GB2312"/>
                <w:spacing w:val="25"/>
                <w:sz w:val="24"/>
                <w:szCs w:val="24"/>
              </w:rPr>
              <w:t>计)</w:t>
            </w:r>
          </w:p>
        </w:tc>
        <w:tc>
          <w:tcPr>
            <w:tcW w:w="1768" w:type="dxa"/>
            <w:vAlign w:val="center"/>
          </w:tcPr>
          <w:p>
            <w:pPr>
              <w:widowControl w:val="0"/>
              <w:spacing w:before="101" w:line="360" w:lineRule="auto"/>
              <w:jc w:val="center"/>
              <w:rPr>
                <w:rFonts w:hint="eastAsia" w:ascii="仿宋_GB2312" w:hAnsi="仿宋_GB2312" w:eastAsia="仿宋_GB2312" w:cs="仿宋_GB2312"/>
                <w:spacing w:val="-3"/>
                <w:sz w:val="24"/>
                <w:szCs w:val="24"/>
                <w:lang w:eastAsia="zh-CN"/>
              </w:rPr>
            </w:pPr>
            <w:r>
              <w:rPr>
                <w:rFonts w:hint="eastAsia" w:ascii="仿宋_GB2312" w:hAnsi="仿宋_GB2312" w:eastAsia="仿宋_GB2312" w:cs="仿宋_GB2312"/>
                <w:sz w:val="24"/>
                <w:szCs w:val="24"/>
              </w:rPr>
              <w:t>Q/210403JJQ 00</w:t>
            </w:r>
            <w:r>
              <w:rPr>
                <w:rFonts w:hint="eastAsia" w:ascii="仿宋_GB2312" w:hAnsi="仿宋_GB2312" w:eastAsia="仿宋_GB2312" w:cs="仿宋_GB2312"/>
                <w:sz w:val="24"/>
                <w:szCs w:val="24"/>
                <w:lang w:eastAsia="zh-CN"/>
              </w:rPr>
              <w:t>2</w:t>
            </w:r>
          </w:p>
        </w:tc>
        <w:tc>
          <w:tcPr>
            <w:tcW w:w="3293"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新食品原料 L-</w:t>
            </w:r>
            <w:r>
              <w:rPr>
                <w:rFonts w:hint="eastAsia" w:ascii="仿宋_GB2312" w:hAnsi="仿宋_GB2312" w:eastAsia="仿宋_GB2312" w:cs="仿宋_GB2312"/>
                <w:sz w:val="24"/>
                <w:szCs w:val="24"/>
              </w:rPr>
              <w:t>α</w:t>
            </w:r>
            <w:r>
              <w:rPr>
                <w:rFonts w:hint="eastAsia" w:ascii="仿宋_GB2312" w:hAnsi="仿宋_GB2312" w:eastAsia="仿宋_GB2312" w:cs="仿宋_GB2312"/>
                <w:sz w:val="24"/>
                <w:szCs w:val="24"/>
                <w:lang w:eastAsia="zh-CN"/>
              </w:rPr>
              <w:t>-甘磷酸胆碱</w:t>
            </w:r>
          </w:p>
        </w:tc>
        <w:tc>
          <w:tcPr>
            <w:tcW w:w="1970"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《中华人民共和国药典》四部通则0801“氯化物检查法”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pPr>
              <w:widowControl w:val="0"/>
              <w:numPr>
                <w:ilvl w:val="0"/>
                <w:numId w:val="4"/>
              </w:numPr>
              <w:spacing w:before="101" w:line="360" w:lineRule="auto"/>
              <w:jc w:val="center"/>
              <w:rPr>
                <w:rFonts w:hint="eastAsia" w:ascii="仿宋_GB2312" w:hAnsi="仿宋_GB2312" w:eastAsia="仿宋_GB2312" w:cs="仿宋_GB2312"/>
                <w:spacing w:val="-3"/>
                <w:sz w:val="24"/>
                <w:szCs w:val="24"/>
                <w:lang w:eastAsia="zh-CN"/>
              </w:rPr>
            </w:pPr>
          </w:p>
        </w:tc>
        <w:tc>
          <w:tcPr>
            <w:tcW w:w="1371" w:type="dxa"/>
            <w:vAlign w:val="center"/>
          </w:tcPr>
          <w:p>
            <w:pPr>
              <w:widowControl w:val="0"/>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磷酸盐</w:t>
            </w:r>
          </w:p>
        </w:tc>
        <w:tc>
          <w:tcPr>
            <w:tcW w:w="1768" w:type="dxa"/>
            <w:vAlign w:val="center"/>
          </w:tcPr>
          <w:p>
            <w:pPr>
              <w:widowControl w:val="0"/>
              <w:spacing w:before="101" w:line="360" w:lineRule="auto"/>
              <w:jc w:val="center"/>
              <w:rPr>
                <w:rFonts w:hint="eastAsia" w:ascii="仿宋_GB2312" w:hAnsi="仿宋_GB2312" w:eastAsia="仿宋_GB2312" w:cs="仿宋_GB2312"/>
                <w:spacing w:val="-3"/>
                <w:sz w:val="24"/>
                <w:szCs w:val="24"/>
                <w:highlight w:val="none"/>
                <w:lang w:eastAsia="zh-CN"/>
              </w:rPr>
            </w:pPr>
            <w:r>
              <w:rPr>
                <w:rFonts w:hint="eastAsia" w:ascii="仿宋_GB2312" w:hAnsi="仿宋_GB2312" w:eastAsia="仿宋_GB2312" w:cs="仿宋_GB2312"/>
                <w:sz w:val="24"/>
                <w:szCs w:val="24"/>
                <w:highlight w:val="none"/>
              </w:rPr>
              <w:t>Q/210403JJQ 00</w:t>
            </w:r>
            <w:r>
              <w:rPr>
                <w:rFonts w:hint="eastAsia" w:ascii="仿宋_GB2312" w:hAnsi="仿宋_GB2312" w:eastAsia="仿宋_GB2312" w:cs="仿宋_GB2312"/>
                <w:sz w:val="24"/>
                <w:szCs w:val="24"/>
                <w:highlight w:val="none"/>
                <w:lang w:eastAsia="zh-CN"/>
              </w:rPr>
              <w:t>2</w:t>
            </w:r>
          </w:p>
        </w:tc>
        <w:tc>
          <w:tcPr>
            <w:tcW w:w="3293" w:type="dxa"/>
            <w:vAlign w:val="center"/>
          </w:tcPr>
          <w:p>
            <w:pPr>
              <w:widowControl w:val="0"/>
              <w:spacing w:line="360" w:lineRule="auto"/>
              <w:jc w:val="center"/>
              <w:rPr>
                <w:rFonts w:hint="eastAsia" w:ascii="仿宋_GB2312" w:hAnsi="仿宋_GB2312" w:eastAsia="仿宋_GB2312" w:cs="仿宋_GB2312"/>
                <w:sz w:val="24"/>
                <w:szCs w:val="24"/>
                <w:highlight w:val="none"/>
                <w:lang w:eastAsia="zh-CN"/>
              </w:rPr>
            </w:pPr>
            <w:r>
              <w:rPr>
                <w:rFonts w:hint="eastAsia" w:ascii="仿宋_GB2312" w:hAnsi="仿宋_GB2312" w:eastAsia="仿宋_GB2312" w:cs="仿宋_GB2312"/>
                <w:sz w:val="24"/>
                <w:szCs w:val="24"/>
                <w:highlight w:val="none"/>
                <w:lang w:eastAsia="zh-CN"/>
              </w:rPr>
              <w:t>新食品原料 L-</w:t>
            </w:r>
            <w:r>
              <w:rPr>
                <w:rFonts w:hint="eastAsia" w:ascii="仿宋_GB2312" w:hAnsi="仿宋_GB2312" w:eastAsia="仿宋_GB2312" w:cs="仿宋_GB2312"/>
                <w:sz w:val="24"/>
                <w:szCs w:val="24"/>
                <w:highlight w:val="none"/>
              </w:rPr>
              <w:t>α</w:t>
            </w:r>
            <w:r>
              <w:rPr>
                <w:rFonts w:hint="eastAsia" w:ascii="仿宋_GB2312" w:hAnsi="仿宋_GB2312" w:eastAsia="仿宋_GB2312" w:cs="仿宋_GB2312"/>
                <w:sz w:val="24"/>
                <w:szCs w:val="24"/>
                <w:highlight w:val="none"/>
                <w:lang w:eastAsia="zh-CN"/>
              </w:rPr>
              <w:t>-甘磷酸胆碱</w:t>
            </w:r>
          </w:p>
        </w:tc>
        <w:tc>
          <w:tcPr>
            <w:tcW w:w="1970" w:type="dxa"/>
            <w:vAlign w:val="center"/>
          </w:tcPr>
          <w:p>
            <w:pPr>
              <w:widowControl w:val="0"/>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kern w:val="2"/>
                <w:sz w:val="24"/>
                <w:szCs w:val="24"/>
                <w:lang w:eastAsia="zh-CN"/>
              </w:rPr>
              <w:t>GB 5009.256</w:t>
            </w:r>
          </w:p>
        </w:tc>
      </w:tr>
    </w:tbl>
    <w:p>
      <w:pPr>
        <w:spacing w:line="360" w:lineRule="auto"/>
        <w:rPr>
          <w:rFonts w:ascii="Times New Roman" w:hAnsi="Times New Roman" w:cs="Times New Roman"/>
          <w:b/>
          <w:bCs/>
          <w:sz w:val="28"/>
          <w:szCs w:val="28"/>
          <w:lang w:eastAsia="zh-CN"/>
        </w:rPr>
      </w:pPr>
    </w:p>
    <w:p>
      <w:pPr>
        <w:pStyle w:val="13"/>
        <w:rPr>
          <w:rFonts w:ascii="Times New Roman" w:hAnsi="Times New Roman"/>
          <w:sz w:val="28"/>
          <w:szCs w:val="28"/>
        </w:rPr>
      </w:pPr>
    </w:p>
    <w:sectPr>
      <w:pgSz w:w="11906" w:h="16838"/>
      <w:pgMar w:top="1040" w:right="1474" w:bottom="1118" w:left="1586" w:header="0" w:footer="854"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黑体"/>
    <w:panose1 w:val="020B0503020204020204"/>
    <w:charset w:val="86"/>
    <w:family w:val="auto"/>
    <w:pitch w:val="default"/>
    <w:sig w:usb0="00000000" w:usb1="00000000" w:usb2="00000016" w:usb3="00000000" w:csb0="0004001F" w:csb1="00000000"/>
  </w:font>
  <w:font w:name="TimesNewRomanPSMT">
    <w:altName w:val="Times New Roman"/>
    <w:panose1 w:val="00000000000000000000"/>
    <w:charset w:val="00"/>
    <w:family w:val="roman"/>
    <w:pitch w:val="default"/>
    <w:sig w:usb0="00000000" w:usb1="00000000" w:usb2="00000000" w:usb3="00000000" w:csb0="00000001"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DejaVu Sans">
    <w:panose1 w:val="020B0603030804020204"/>
    <w:charset w:val="00"/>
    <w:family w:val="auto"/>
    <w:pitch w:val="default"/>
    <w:sig w:usb0="E7006EFF" w:usb1="D200FDFF" w:usb2="0A246029" w:usb3="0400200C" w:csb0="600001FF" w:csb1="DFFF0000"/>
  </w:font>
  <w:font w:name="CESI仿宋-GB13000">
    <w:panose1 w:val="02000500000000000000"/>
    <w:charset w:val="86"/>
    <w:family w:val="auto"/>
    <w:pitch w:val="default"/>
    <w:sig w:usb0="800002BF" w:usb1="18CF7CF8"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89" w:lineRule="auto"/>
      <w:ind w:left="5"/>
      <w:rPr>
        <w:sz w:val="28"/>
        <w:szCs w:val="28"/>
      </w:rPr>
    </w:pPr>
    <w:r>
      <w:rPr>
        <w:lang w:eastAsia="zh-CN"/>
      </w:rPr>
      <w:pict>
        <v:shape id="_x0000_s4097" o:spid="_x0000_s4097" o:spt="202" type="#_x0000_t202" style="position:absolute;left:0pt;margin-left:4.2pt;margin-top:1.2pt;height:144pt;width:144pt;mso-position-horizontal-relative:margin;mso-wrap-style:none;z-index:251659264;mso-width-relative:page;mso-height-relative:page;" filled="f" stroked="f" coordsize="21600,21600">
          <v:path/>
          <v:fill on="f" focussize="0,0"/>
          <v:stroke on="f" weight="0.5pt" joinstyle="miter"/>
          <v:imagedata o:title=""/>
          <o:lock v:ext="edit"/>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w:r>
    <w:r>
      <w:rPr>
        <w:spacing w:val="16"/>
        <w:sz w:val="28"/>
        <w:szCs w:val="28"/>
      </w:rPr>
      <w:t>-</w:t>
    </w:r>
    <w:r>
      <w:rPr>
        <w:sz w:val="28"/>
        <w:szCs w:val="28"/>
      </w:rPr>
      <w:t xml:space="preserve"> </w:t>
    </w:r>
    <w:r>
      <w:rPr>
        <w:sz w:val="28"/>
        <w:szCs w:val="28"/>
        <w:lang w:eastAsia="zh-CN"/>
      </w:rPr>
      <w:t xml:space="preserve"> </w:t>
    </w:r>
    <w:r>
      <w:rPr>
        <w:spacing w:val="16"/>
        <w:sz w:val="28"/>
        <w:szCs w:val="28"/>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7D7F491"/>
    <w:multiLevelType w:val="singleLevel"/>
    <w:tmpl w:val="17D7F491"/>
    <w:lvl w:ilvl="0" w:tentative="0">
      <w:start w:val="1"/>
      <w:numFmt w:val="decimal"/>
      <w:suff w:val="nothing"/>
      <w:lvlText w:val="%1"/>
      <w:lvlJc w:val="left"/>
      <w:pPr>
        <w:ind w:left="-193" w:firstLine="403"/>
      </w:pPr>
      <w:rPr>
        <w:rFonts w:hint="default" w:ascii="宋体" w:eastAsia="宋体" w:cs="Times New Roman"/>
        <w:sz w:val="28"/>
      </w:rPr>
    </w:lvl>
  </w:abstractNum>
  <w:abstractNum w:abstractNumId="1">
    <w:nsid w:val="2E461FE9"/>
    <w:multiLevelType w:val="singleLevel"/>
    <w:tmpl w:val="2E461FE9"/>
    <w:lvl w:ilvl="0" w:tentative="0">
      <w:start w:val="1"/>
      <w:numFmt w:val="decimal"/>
      <w:suff w:val="nothing"/>
      <w:lvlText w:val="%1、"/>
      <w:lvlJc w:val="left"/>
      <w:rPr>
        <w:rFonts w:cs="Times New Roman"/>
      </w:rPr>
    </w:lvl>
  </w:abstractNum>
  <w:abstractNum w:abstractNumId="2">
    <w:nsid w:val="37F2B2BF"/>
    <w:multiLevelType w:val="singleLevel"/>
    <w:tmpl w:val="37F2B2BF"/>
    <w:lvl w:ilvl="0" w:tentative="0">
      <w:start w:val="1"/>
      <w:numFmt w:val="chineseCounting"/>
      <w:suff w:val="nothing"/>
      <w:lvlText w:val="第%1条"/>
      <w:lvlJc w:val="left"/>
      <w:pPr>
        <w:tabs>
          <w:tab w:val="left" w:pos="0"/>
        </w:tabs>
        <w:ind w:left="210" w:firstLine="420"/>
      </w:pPr>
      <w:rPr>
        <w:rFonts w:hint="eastAsia" w:ascii="宋体" w:eastAsia="宋体" w:cs="Times New Roman"/>
        <w:sz w:val="28"/>
      </w:rPr>
    </w:lvl>
  </w:abstractNum>
  <w:abstractNum w:abstractNumId="3">
    <w:nsid w:val="6A3F8CFD"/>
    <w:multiLevelType w:val="singleLevel"/>
    <w:tmpl w:val="6A3F8CFD"/>
    <w:lvl w:ilvl="0" w:tentative="0">
      <w:start w:val="1"/>
      <w:numFmt w:val="decimal"/>
      <w:suff w:val="nothing"/>
      <w:lvlText w:val="%1"/>
      <w:lvlJc w:val="left"/>
      <w:pPr>
        <w:ind w:left="-193" w:firstLine="403"/>
      </w:pPr>
      <w:rPr>
        <w:rFonts w:hint="default" w:ascii="宋体" w:eastAsia="宋体" w:cs="Times New Roman"/>
        <w:sz w:val="28"/>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true"/>
  <w:documentProtection w:enforcement="0"/>
  <w:defaultTabStop w:val="420"/>
  <w:noPunctuationKerning w:val="true"/>
  <w:characterSpacingControl w:val="doNotCompress"/>
  <w:noLineBreaksAfter w:lang="zh-CN" w:val="$([{£¥·‘“〈《「『【〔〖〝﹙﹛﹝＄（．［｛￡￥"/>
  <w:noLineBreaksBefore w:lang="zh-CN" w:val="!%),.:;&gt;?]}¢¨°·ˇˉ―‖’”…‰′″›℃∶、。〃〉》」』】〕〗〞︶︺︾﹀﹄﹚﹜﹞！＂％＇），．：；？］｀｜｝～￠"/>
  <w:hdrShapeDefaults>
    <o:shapelayout v:ext="edit">
      <o:idmap v:ext="edit" data="3,4"/>
    </o:shapelayout>
  </w:hdrShapeDefaults>
  <w:compat>
    <w:spaceForUL/>
    <w:ulTrailSpace/>
    <w:doNotExpandShiftReturn/>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ODViY2JkMjU3NGYzZTEwMzZmMGFkZWViYmNkYWU3NDIifQ=="/>
  </w:docVars>
  <w:rsids>
    <w:rsidRoot w:val="00291B2B"/>
    <w:rsid w:val="00014D95"/>
    <w:rsid w:val="0002729B"/>
    <w:rsid w:val="00052E95"/>
    <w:rsid w:val="00086660"/>
    <w:rsid w:val="000B3DC7"/>
    <w:rsid w:val="000B4E2A"/>
    <w:rsid w:val="000C406D"/>
    <w:rsid w:val="000C5986"/>
    <w:rsid w:val="001054D7"/>
    <w:rsid w:val="001374BB"/>
    <w:rsid w:val="00162DD2"/>
    <w:rsid w:val="001755A4"/>
    <w:rsid w:val="001833DB"/>
    <w:rsid w:val="0018357F"/>
    <w:rsid w:val="001B2A52"/>
    <w:rsid w:val="001C629A"/>
    <w:rsid w:val="001D0E77"/>
    <w:rsid w:val="001D5413"/>
    <w:rsid w:val="00236F5E"/>
    <w:rsid w:val="00281EF8"/>
    <w:rsid w:val="0028699A"/>
    <w:rsid w:val="00291B2B"/>
    <w:rsid w:val="002B1A2D"/>
    <w:rsid w:val="002D2AD7"/>
    <w:rsid w:val="00335FBE"/>
    <w:rsid w:val="0035446D"/>
    <w:rsid w:val="00367364"/>
    <w:rsid w:val="003718E2"/>
    <w:rsid w:val="00374475"/>
    <w:rsid w:val="003B7CBA"/>
    <w:rsid w:val="003E516E"/>
    <w:rsid w:val="004069A8"/>
    <w:rsid w:val="004478FC"/>
    <w:rsid w:val="00452C0D"/>
    <w:rsid w:val="004751E0"/>
    <w:rsid w:val="00484A35"/>
    <w:rsid w:val="004D21E3"/>
    <w:rsid w:val="004F49A0"/>
    <w:rsid w:val="00510B5F"/>
    <w:rsid w:val="00511804"/>
    <w:rsid w:val="00583EFE"/>
    <w:rsid w:val="00585F26"/>
    <w:rsid w:val="0058612E"/>
    <w:rsid w:val="005B2420"/>
    <w:rsid w:val="005C60D1"/>
    <w:rsid w:val="00603977"/>
    <w:rsid w:val="00613E4D"/>
    <w:rsid w:val="00625CD1"/>
    <w:rsid w:val="006852FE"/>
    <w:rsid w:val="00685E2A"/>
    <w:rsid w:val="00693853"/>
    <w:rsid w:val="006B0BB5"/>
    <w:rsid w:val="006B42CA"/>
    <w:rsid w:val="006F648C"/>
    <w:rsid w:val="00724A42"/>
    <w:rsid w:val="00732770"/>
    <w:rsid w:val="00757EA0"/>
    <w:rsid w:val="007705F0"/>
    <w:rsid w:val="007A3C30"/>
    <w:rsid w:val="007A6484"/>
    <w:rsid w:val="008013A9"/>
    <w:rsid w:val="0081485B"/>
    <w:rsid w:val="00817347"/>
    <w:rsid w:val="00832D3B"/>
    <w:rsid w:val="008A4342"/>
    <w:rsid w:val="008B3E17"/>
    <w:rsid w:val="008F3AAB"/>
    <w:rsid w:val="00973640"/>
    <w:rsid w:val="009764DD"/>
    <w:rsid w:val="0097711C"/>
    <w:rsid w:val="009B2124"/>
    <w:rsid w:val="009F4C1B"/>
    <w:rsid w:val="00A0269B"/>
    <w:rsid w:val="00A25742"/>
    <w:rsid w:val="00A73D3D"/>
    <w:rsid w:val="00B27043"/>
    <w:rsid w:val="00B3499E"/>
    <w:rsid w:val="00B936AC"/>
    <w:rsid w:val="00C86797"/>
    <w:rsid w:val="00CA04C5"/>
    <w:rsid w:val="00CA4DCE"/>
    <w:rsid w:val="00CB6D81"/>
    <w:rsid w:val="00CE039C"/>
    <w:rsid w:val="00CF2E6F"/>
    <w:rsid w:val="00D35601"/>
    <w:rsid w:val="00D66677"/>
    <w:rsid w:val="00D7291C"/>
    <w:rsid w:val="00D87E42"/>
    <w:rsid w:val="00DF7057"/>
    <w:rsid w:val="00E034E7"/>
    <w:rsid w:val="00E46E56"/>
    <w:rsid w:val="00E73C5B"/>
    <w:rsid w:val="00E924B4"/>
    <w:rsid w:val="00E93CF9"/>
    <w:rsid w:val="00E948E7"/>
    <w:rsid w:val="00EC1D9D"/>
    <w:rsid w:val="00EF58BB"/>
    <w:rsid w:val="00F31068"/>
    <w:rsid w:val="00FD2101"/>
    <w:rsid w:val="00FD5FCE"/>
    <w:rsid w:val="00FF37DF"/>
    <w:rsid w:val="010D646A"/>
    <w:rsid w:val="018502B5"/>
    <w:rsid w:val="01F91590"/>
    <w:rsid w:val="02022E80"/>
    <w:rsid w:val="028F5751"/>
    <w:rsid w:val="030A030D"/>
    <w:rsid w:val="03392D71"/>
    <w:rsid w:val="03A262AA"/>
    <w:rsid w:val="040D07F6"/>
    <w:rsid w:val="04365896"/>
    <w:rsid w:val="044F0706"/>
    <w:rsid w:val="04C63A58"/>
    <w:rsid w:val="04CE714C"/>
    <w:rsid w:val="0574656A"/>
    <w:rsid w:val="057E6606"/>
    <w:rsid w:val="05957B96"/>
    <w:rsid w:val="05E61930"/>
    <w:rsid w:val="0644429B"/>
    <w:rsid w:val="06580187"/>
    <w:rsid w:val="067B4119"/>
    <w:rsid w:val="06A765D7"/>
    <w:rsid w:val="06AB091A"/>
    <w:rsid w:val="080B7A56"/>
    <w:rsid w:val="082E5202"/>
    <w:rsid w:val="08597DA5"/>
    <w:rsid w:val="08716E9D"/>
    <w:rsid w:val="08856DEC"/>
    <w:rsid w:val="08EA07A4"/>
    <w:rsid w:val="095342DA"/>
    <w:rsid w:val="095531B4"/>
    <w:rsid w:val="09C3197A"/>
    <w:rsid w:val="09D417D0"/>
    <w:rsid w:val="09E632C3"/>
    <w:rsid w:val="0A2D5046"/>
    <w:rsid w:val="0AAC3DCB"/>
    <w:rsid w:val="0B2B3344"/>
    <w:rsid w:val="0B5F56D3"/>
    <w:rsid w:val="0B9D09F9"/>
    <w:rsid w:val="0C2A7A8F"/>
    <w:rsid w:val="0CF55219"/>
    <w:rsid w:val="0D186481"/>
    <w:rsid w:val="0D4F1A5E"/>
    <w:rsid w:val="0D9B5C09"/>
    <w:rsid w:val="0DBF4B4E"/>
    <w:rsid w:val="0DC45CC1"/>
    <w:rsid w:val="0DDF6F9F"/>
    <w:rsid w:val="0E4718DB"/>
    <w:rsid w:val="0E6A4ABA"/>
    <w:rsid w:val="0F1409C3"/>
    <w:rsid w:val="0F2961AF"/>
    <w:rsid w:val="0F84395A"/>
    <w:rsid w:val="0FD85A54"/>
    <w:rsid w:val="10194D1A"/>
    <w:rsid w:val="101B51E3"/>
    <w:rsid w:val="10805852"/>
    <w:rsid w:val="109555B7"/>
    <w:rsid w:val="11180810"/>
    <w:rsid w:val="11586174"/>
    <w:rsid w:val="117A3223"/>
    <w:rsid w:val="120627E3"/>
    <w:rsid w:val="12687563"/>
    <w:rsid w:val="13C94031"/>
    <w:rsid w:val="142B4359"/>
    <w:rsid w:val="147815B3"/>
    <w:rsid w:val="14D7452C"/>
    <w:rsid w:val="14E1184E"/>
    <w:rsid w:val="15205ED3"/>
    <w:rsid w:val="156A1844"/>
    <w:rsid w:val="15A62D19"/>
    <w:rsid w:val="16026D99"/>
    <w:rsid w:val="163F05DA"/>
    <w:rsid w:val="170D6CCF"/>
    <w:rsid w:val="170E1E67"/>
    <w:rsid w:val="17124B18"/>
    <w:rsid w:val="177C4391"/>
    <w:rsid w:val="17832E91"/>
    <w:rsid w:val="17AE2098"/>
    <w:rsid w:val="17B005EC"/>
    <w:rsid w:val="17C90AA4"/>
    <w:rsid w:val="180F2DCF"/>
    <w:rsid w:val="18550EF6"/>
    <w:rsid w:val="18E03155"/>
    <w:rsid w:val="18EB2C9C"/>
    <w:rsid w:val="19703823"/>
    <w:rsid w:val="1A7649C8"/>
    <w:rsid w:val="1B5002CC"/>
    <w:rsid w:val="1C4E2DF1"/>
    <w:rsid w:val="1CA473E9"/>
    <w:rsid w:val="1CE32CBF"/>
    <w:rsid w:val="1D114794"/>
    <w:rsid w:val="1E056C6A"/>
    <w:rsid w:val="1EB82E15"/>
    <w:rsid w:val="1EC441B4"/>
    <w:rsid w:val="1EE47F71"/>
    <w:rsid w:val="1F1C15F2"/>
    <w:rsid w:val="1F5D2BC0"/>
    <w:rsid w:val="1FF42436"/>
    <w:rsid w:val="20032679"/>
    <w:rsid w:val="20A7794A"/>
    <w:rsid w:val="210524E8"/>
    <w:rsid w:val="21D56297"/>
    <w:rsid w:val="22B61C24"/>
    <w:rsid w:val="22C25AFE"/>
    <w:rsid w:val="22D15733"/>
    <w:rsid w:val="234B506B"/>
    <w:rsid w:val="23525A20"/>
    <w:rsid w:val="23567CF6"/>
    <w:rsid w:val="236F6BEA"/>
    <w:rsid w:val="258B55EA"/>
    <w:rsid w:val="25AC1A52"/>
    <w:rsid w:val="25B763DF"/>
    <w:rsid w:val="25E16E37"/>
    <w:rsid w:val="25EF583A"/>
    <w:rsid w:val="2610789E"/>
    <w:rsid w:val="261C6242"/>
    <w:rsid w:val="269061A0"/>
    <w:rsid w:val="26E36D60"/>
    <w:rsid w:val="271648DF"/>
    <w:rsid w:val="28565757"/>
    <w:rsid w:val="28897026"/>
    <w:rsid w:val="28E522AE"/>
    <w:rsid w:val="294D4EF6"/>
    <w:rsid w:val="29567CBD"/>
    <w:rsid w:val="29F623A2"/>
    <w:rsid w:val="29FC4707"/>
    <w:rsid w:val="2A104310"/>
    <w:rsid w:val="2A68414C"/>
    <w:rsid w:val="2A9F5694"/>
    <w:rsid w:val="2AB47879"/>
    <w:rsid w:val="2B057F7D"/>
    <w:rsid w:val="2BDF4279"/>
    <w:rsid w:val="2C412EA7"/>
    <w:rsid w:val="2C675AF3"/>
    <w:rsid w:val="2CAB021C"/>
    <w:rsid w:val="2E144B1E"/>
    <w:rsid w:val="2F587D94"/>
    <w:rsid w:val="2F662C24"/>
    <w:rsid w:val="2F6D3A87"/>
    <w:rsid w:val="2FA45453"/>
    <w:rsid w:val="2FE853E7"/>
    <w:rsid w:val="300F302B"/>
    <w:rsid w:val="3099481D"/>
    <w:rsid w:val="309F1657"/>
    <w:rsid w:val="30AE1C6C"/>
    <w:rsid w:val="30B01F6C"/>
    <w:rsid w:val="30C45E54"/>
    <w:rsid w:val="30F009F7"/>
    <w:rsid w:val="311E37B6"/>
    <w:rsid w:val="31224929"/>
    <w:rsid w:val="31A33E72"/>
    <w:rsid w:val="322E5C7B"/>
    <w:rsid w:val="3239017C"/>
    <w:rsid w:val="3279087E"/>
    <w:rsid w:val="330F7979"/>
    <w:rsid w:val="33D94D16"/>
    <w:rsid w:val="34A13D47"/>
    <w:rsid w:val="34CC3529"/>
    <w:rsid w:val="34DD36E9"/>
    <w:rsid w:val="351D1FD7"/>
    <w:rsid w:val="362E1494"/>
    <w:rsid w:val="36495163"/>
    <w:rsid w:val="36D70BCD"/>
    <w:rsid w:val="3768578B"/>
    <w:rsid w:val="37755CB2"/>
    <w:rsid w:val="37A3262F"/>
    <w:rsid w:val="38BD1B07"/>
    <w:rsid w:val="38C86376"/>
    <w:rsid w:val="399D5494"/>
    <w:rsid w:val="3A0224A2"/>
    <w:rsid w:val="3A3057C7"/>
    <w:rsid w:val="3A3754BD"/>
    <w:rsid w:val="3A8B3BCC"/>
    <w:rsid w:val="3A9E14C4"/>
    <w:rsid w:val="3B6C5B5B"/>
    <w:rsid w:val="3BBA0580"/>
    <w:rsid w:val="3BBF645A"/>
    <w:rsid w:val="3BD31641"/>
    <w:rsid w:val="3BF723BB"/>
    <w:rsid w:val="3C4E2A76"/>
    <w:rsid w:val="3D320741"/>
    <w:rsid w:val="3D605157"/>
    <w:rsid w:val="3D960B78"/>
    <w:rsid w:val="3E235C26"/>
    <w:rsid w:val="3E7A2248"/>
    <w:rsid w:val="3EB70DA6"/>
    <w:rsid w:val="3ED22117"/>
    <w:rsid w:val="3F05474B"/>
    <w:rsid w:val="40537712"/>
    <w:rsid w:val="40B437EF"/>
    <w:rsid w:val="423503C6"/>
    <w:rsid w:val="42576000"/>
    <w:rsid w:val="432068D6"/>
    <w:rsid w:val="436B4046"/>
    <w:rsid w:val="43754D8C"/>
    <w:rsid w:val="43D61CCF"/>
    <w:rsid w:val="452B1BA6"/>
    <w:rsid w:val="4582210E"/>
    <w:rsid w:val="460F3276"/>
    <w:rsid w:val="466E2692"/>
    <w:rsid w:val="46E930D4"/>
    <w:rsid w:val="475F1FDB"/>
    <w:rsid w:val="47A520E4"/>
    <w:rsid w:val="48551C16"/>
    <w:rsid w:val="48AC5A6A"/>
    <w:rsid w:val="48EB1F0B"/>
    <w:rsid w:val="48EF797C"/>
    <w:rsid w:val="490D6395"/>
    <w:rsid w:val="495D7353"/>
    <w:rsid w:val="49C83E68"/>
    <w:rsid w:val="49EA39AF"/>
    <w:rsid w:val="4A0306ED"/>
    <w:rsid w:val="4A5C0C3F"/>
    <w:rsid w:val="4AD14476"/>
    <w:rsid w:val="4B074E64"/>
    <w:rsid w:val="4B9F509C"/>
    <w:rsid w:val="4BEA71A4"/>
    <w:rsid w:val="4C204F54"/>
    <w:rsid w:val="4C324162"/>
    <w:rsid w:val="4C520360"/>
    <w:rsid w:val="4D3E5E5B"/>
    <w:rsid w:val="4DF53699"/>
    <w:rsid w:val="4E2061ED"/>
    <w:rsid w:val="4FAF2F9F"/>
    <w:rsid w:val="51475FBA"/>
    <w:rsid w:val="5161312A"/>
    <w:rsid w:val="520143BB"/>
    <w:rsid w:val="52065E75"/>
    <w:rsid w:val="520A6D5D"/>
    <w:rsid w:val="525F5585"/>
    <w:rsid w:val="52846877"/>
    <w:rsid w:val="536E33AD"/>
    <w:rsid w:val="53A476F3"/>
    <w:rsid w:val="544B16E6"/>
    <w:rsid w:val="5476359A"/>
    <w:rsid w:val="54C54C3F"/>
    <w:rsid w:val="55160C9A"/>
    <w:rsid w:val="55425D5D"/>
    <w:rsid w:val="56116B96"/>
    <w:rsid w:val="56156687"/>
    <w:rsid w:val="56755377"/>
    <w:rsid w:val="571C50F4"/>
    <w:rsid w:val="57981DED"/>
    <w:rsid w:val="57D50EFF"/>
    <w:rsid w:val="5814296E"/>
    <w:rsid w:val="586A4374"/>
    <w:rsid w:val="58AC619E"/>
    <w:rsid w:val="58AE2DC2"/>
    <w:rsid w:val="58B24661"/>
    <w:rsid w:val="58C726DF"/>
    <w:rsid w:val="593645DE"/>
    <w:rsid w:val="59F62804"/>
    <w:rsid w:val="59F667CF"/>
    <w:rsid w:val="5A382207"/>
    <w:rsid w:val="5A952743"/>
    <w:rsid w:val="5B6B0AF7"/>
    <w:rsid w:val="5BAF1477"/>
    <w:rsid w:val="5C593045"/>
    <w:rsid w:val="5C5B2432"/>
    <w:rsid w:val="5C635142"/>
    <w:rsid w:val="5CA42512"/>
    <w:rsid w:val="5CDF354A"/>
    <w:rsid w:val="5E591A42"/>
    <w:rsid w:val="5E6957C1"/>
    <w:rsid w:val="5EA70098"/>
    <w:rsid w:val="5F225970"/>
    <w:rsid w:val="601822B5"/>
    <w:rsid w:val="604A1623"/>
    <w:rsid w:val="60A16BEA"/>
    <w:rsid w:val="60FA0B5B"/>
    <w:rsid w:val="617D1584"/>
    <w:rsid w:val="618A6FA7"/>
    <w:rsid w:val="620B6B90"/>
    <w:rsid w:val="62143C96"/>
    <w:rsid w:val="62791D4B"/>
    <w:rsid w:val="627E375A"/>
    <w:rsid w:val="63045D56"/>
    <w:rsid w:val="632E2B36"/>
    <w:rsid w:val="641E6C54"/>
    <w:rsid w:val="64F32C6F"/>
    <w:rsid w:val="64F948F3"/>
    <w:rsid w:val="6522491C"/>
    <w:rsid w:val="65C14135"/>
    <w:rsid w:val="65CA7441"/>
    <w:rsid w:val="65CE23AE"/>
    <w:rsid w:val="65DA51F7"/>
    <w:rsid w:val="66014531"/>
    <w:rsid w:val="66877A2A"/>
    <w:rsid w:val="66D41C46"/>
    <w:rsid w:val="6726502C"/>
    <w:rsid w:val="6745088F"/>
    <w:rsid w:val="67666F6E"/>
    <w:rsid w:val="67D418EF"/>
    <w:rsid w:val="68406925"/>
    <w:rsid w:val="68D73C6F"/>
    <w:rsid w:val="694C1F68"/>
    <w:rsid w:val="69670B4F"/>
    <w:rsid w:val="69EC541B"/>
    <w:rsid w:val="69FF347E"/>
    <w:rsid w:val="6A0E36C1"/>
    <w:rsid w:val="6A205831"/>
    <w:rsid w:val="6A330664"/>
    <w:rsid w:val="6A3F7A56"/>
    <w:rsid w:val="6A627D5F"/>
    <w:rsid w:val="6AE6017E"/>
    <w:rsid w:val="6BEC7A32"/>
    <w:rsid w:val="6BFE15AC"/>
    <w:rsid w:val="6C016BE7"/>
    <w:rsid w:val="6C165518"/>
    <w:rsid w:val="6C186A79"/>
    <w:rsid w:val="6C225202"/>
    <w:rsid w:val="6C3423CB"/>
    <w:rsid w:val="6C7D68DC"/>
    <w:rsid w:val="6D031967"/>
    <w:rsid w:val="6D24589C"/>
    <w:rsid w:val="6D4E6FEF"/>
    <w:rsid w:val="6D8B090B"/>
    <w:rsid w:val="6DC04CD2"/>
    <w:rsid w:val="6E873A42"/>
    <w:rsid w:val="6F40431D"/>
    <w:rsid w:val="6FC00FB9"/>
    <w:rsid w:val="701156D2"/>
    <w:rsid w:val="70CE3BAA"/>
    <w:rsid w:val="70E354A5"/>
    <w:rsid w:val="71017F1D"/>
    <w:rsid w:val="7194216C"/>
    <w:rsid w:val="72035AD5"/>
    <w:rsid w:val="72473C14"/>
    <w:rsid w:val="729F135A"/>
    <w:rsid w:val="72BD7A32"/>
    <w:rsid w:val="736B3932"/>
    <w:rsid w:val="737547B1"/>
    <w:rsid w:val="73F456D6"/>
    <w:rsid w:val="745640EE"/>
    <w:rsid w:val="746E4D98"/>
    <w:rsid w:val="75A5059B"/>
    <w:rsid w:val="77161E07"/>
    <w:rsid w:val="7735228D"/>
    <w:rsid w:val="7761127E"/>
    <w:rsid w:val="786B44A1"/>
    <w:rsid w:val="792151BF"/>
    <w:rsid w:val="796055BB"/>
    <w:rsid w:val="7A545120"/>
    <w:rsid w:val="7A5E0E2C"/>
    <w:rsid w:val="7A8F6599"/>
    <w:rsid w:val="7B152F6B"/>
    <w:rsid w:val="7B6FFE26"/>
    <w:rsid w:val="7BF125B2"/>
    <w:rsid w:val="7C26489A"/>
    <w:rsid w:val="7CAF3766"/>
    <w:rsid w:val="7CE32F11"/>
    <w:rsid w:val="7CF256C0"/>
    <w:rsid w:val="7D241CF8"/>
    <w:rsid w:val="7D6E02A7"/>
    <w:rsid w:val="7DB50B6A"/>
    <w:rsid w:val="7DE37FF1"/>
    <w:rsid w:val="7E871B78"/>
    <w:rsid w:val="7E8B6C36"/>
    <w:rsid w:val="BFC68C07"/>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qFormat="1" w:unhideWhenUsed="0" w:uiPriority="99" w:semiHidden="0" w:name="annotation text"/>
    <w:lsdException w:uiPriority="99" w:name="header" w:locked="1"/>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qFormat="1" w:unhideWhenUsed="0" w:uiPriority="99"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eastAsia="宋体" w:cs="Arial"/>
      <w:color w:val="000000"/>
      <w:kern w:val="0"/>
      <w:sz w:val="21"/>
      <w:szCs w:val="21"/>
      <w:lang w:val="en-US" w:eastAsia="en-US" w:bidi="ar-SA"/>
    </w:rPr>
  </w:style>
  <w:style w:type="character" w:default="1" w:styleId="7">
    <w:name w:val="Default Paragraph Font"/>
    <w:semiHidden/>
    <w:qFormat/>
    <w:uiPriority w:val="99"/>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8"/>
    <w:qFormat/>
    <w:uiPriority w:val="99"/>
  </w:style>
  <w:style w:type="paragraph" w:styleId="3">
    <w:name w:val="Body Text"/>
    <w:basedOn w:val="1"/>
    <w:link w:val="9"/>
    <w:semiHidden/>
    <w:qFormat/>
    <w:uiPriority w:val="99"/>
  </w:style>
  <w:style w:type="paragraph" w:styleId="4">
    <w:name w:val="footer"/>
    <w:basedOn w:val="1"/>
    <w:link w:val="10"/>
    <w:qFormat/>
    <w:uiPriority w:val="99"/>
    <w:pPr>
      <w:tabs>
        <w:tab w:val="center" w:pos="4153"/>
        <w:tab w:val="right" w:pos="8306"/>
      </w:tabs>
    </w:pPr>
    <w:rPr>
      <w:sz w:val="18"/>
    </w:rPr>
  </w:style>
  <w:style w:type="table" w:styleId="6">
    <w:name w:val="Table Grid"/>
    <w:basedOn w:val="5"/>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Comment Text Char"/>
    <w:basedOn w:val="7"/>
    <w:link w:val="2"/>
    <w:semiHidden/>
    <w:qFormat/>
    <w:locked/>
    <w:uiPriority w:val="99"/>
    <w:rPr>
      <w:rFonts w:ascii="Arial" w:hAnsi="Arial" w:cs="Arial"/>
      <w:color w:val="000000"/>
      <w:kern w:val="0"/>
      <w:sz w:val="21"/>
      <w:szCs w:val="21"/>
      <w:lang w:eastAsia="en-US"/>
    </w:rPr>
  </w:style>
  <w:style w:type="character" w:customStyle="1" w:styleId="9">
    <w:name w:val="Body Text Char"/>
    <w:basedOn w:val="7"/>
    <w:link w:val="3"/>
    <w:semiHidden/>
    <w:qFormat/>
    <w:locked/>
    <w:uiPriority w:val="99"/>
    <w:rPr>
      <w:rFonts w:ascii="Arial" w:hAnsi="Arial" w:cs="Arial"/>
      <w:color w:val="000000"/>
      <w:kern w:val="0"/>
      <w:sz w:val="21"/>
      <w:szCs w:val="21"/>
      <w:lang w:eastAsia="en-US"/>
    </w:rPr>
  </w:style>
  <w:style w:type="character" w:customStyle="1" w:styleId="10">
    <w:name w:val="Footer Char"/>
    <w:basedOn w:val="7"/>
    <w:link w:val="4"/>
    <w:semiHidden/>
    <w:qFormat/>
    <w:locked/>
    <w:uiPriority w:val="99"/>
    <w:rPr>
      <w:rFonts w:ascii="Arial" w:hAnsi="Arial" w:cs="Arial"/>
      <w:color w:val="000000"/>
      <w:kern w:val="0"/>
      <w:sz w:val="18"/>
      <w:szCs w:val="18"/>
      <w:lang w:eastAsia="en-US"/>
    </w:rPr>
  </w:style>
  <w:style w:type="table" w:customStyle="1" w:styleId="11">
    <w:name w:val="Table Normal1"/>
    <w:semiHidden/>
    <w:qFormat/>
    <w:uiPriority w:val="99"/>
    <w:rPr>
      <w:kern w:val="0"/>
      <w:sz w:val="20"/>
      <w:szCs w:val="20"/>
    </w:rPr>
    <w:tblPr>
      <w:tblCellMar>
        <w:top w:w="0" w:type="dxa"/>
        <w:left w:w="0" w:type="dxa"/>
        <w:bottom w:w="0" w:type="dxa"/>
        <w:right w:w="0" w:type="dxa"/>
      </w:tblCellMar>
    </w:tblPr>
  </w:style>
  <w:style w:type="paragraph" w:customStyle="1" w:styleId="12">
    <w:name w:val="Table Text"/>
    <w:basedOn w:val="1"/>
    <w:semiHidden/>
    <w:qFormat/>
    <w:uiPriority w:val="99"/>
    <w:rPr>
      <w:rFonts w:ascii="微软雅黑" w:hAnsi="微软雅黑" w:eastAsia="微软雅黑" w:cs="微软雅黑"/>
      <w:sz w:val="20"/>
      <w:szCs w:val="20"/>
    </w:rPr>
  </w:style>
  <w:style w:type="paragraph" w:customStyle="1" w:styleId="13">
    <w:name w:val="Default"/>
    <w:qFormat/>
    <w:uiPriority w:val="99"/>
    <w:pPr>
      <w:widowControl w:val="0"/>
      <w:autoSpaceDE w:val="0"/>
      <w:autoSpaceDN w:val="0"/>
      <w:adjustRightInd w:val="0"/>
    </w:pPr>
    <w:rPr>
      <w:rFonts w:ascii="Arial" w:hAnsi="Arial" w:eastAsia="宋体" w:cs="Times New Roman"/>
      <w:color w:val="000000"/>
      <w:kern w:val="0"/>
      <w:sz w:val="24"/>
      <w:szCs w:val="20"/>
      <w:lang w:val="en-US" w:eastAsia="zh-CN" w:bidi="ar-SA"/>
    </w:rPr>
  </w:style>
  <w:style w:type="character" w:customStyle="1" w:styleId="14">
    <w:name w:val="font11"/>
    <w:basedOn w:val="7"/>
    <w:qFormat/>
    <w:uiPriority w:val="99"/>
    <w:rPr>
      <w:rFonts w:ascii="Times New Roman" w:hAnsi="Times New Roman" w:cs="Times New Roman"/>
      <w:color w:val="000000"/>
      <w:sz w:val="24"/>
      <w:szCs w:val="24"/>
      <w:u w:val="none"/>
    </w:rPr>
  </w:style>
  <w:style w:type="character" w:customStyle="1" w:styleId="15">
    <w:name w:val="font21"/>
    <w:basedOn w:val="7"/>
    <w:qFormat/>
    <w:uiPriority w:val="99"/>
    <w:rPr>
      <w:rFonts w:ascii="宋体" w:hAnsi="宋体" w:eastAsia="宋体" w:cs="宋体"/>
      <w:color w:val="000000"/>
      <w:sz w:val="24"/>
      <w:szCs w:val="24"/>
      <w:u w:val="none"/>
    </w:rPr>
  </w:style>
  <w:style w:type="character" w:customStyle="1" w:styleId="16">
    <w:name w:val="fontstyle01"/>
    <w:basedOn w:val="7"/>
    <w:qFormat/>
    <w:uiPriority w:val="99"/>
    <w:rPr>
      <w:rFonts w:ascii="TimesNewRomanPSMT" w:hAnsi="TimesNewRomanPSMT" w:cs="Times New Roman"/>
      <w:color w:val="000000"/>
      <w:sz w:val="24"/>
      <w:szCs w:val="24"/>
    </w:rPr>
  </w:style>
  <w:style w:type="paragraph" w:customStyle="1" w:styleId="17">
    <w:name w:val="段"/>
    <w:qFormat/>
    <w:uiPriority w:val="99"/>
    <w:pPr>
      <w:autoSpaceDE w:val="0"/>
      <w:autoSpaceDN w:val="0"/>
      <w:ind w:firstLine="200" w:firstLineChars="200"/>
      <w:jc w:val="both"/>
    </w:pPr>
    <w:rPr>
      <w:rFonts w:ascii="宋体" w:hAnsi="Times New Roman" w:eastAsia="宋体" w:cs="Times New Roman"/>
      <w:kern w:val="0"/>
      <w:sz w:val="21"/>
      <w:szCs w:val="20"/>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16</Pages>
  <Words>5340</Words>
  <Characters>5818</Characters>
  <Lines>0</Lines>
  <Paragraphs>0</Paragraphs>
  <TotalTime>97</TotalTime>
  <ScaleCrop>false</ScaleCrop>
  <LinksUpToDate>false</LinksUpToDate>
  <CharactersWithSpaces>6005</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2023-06-30T11:35:00Z</dcterms:created>
  <dc:creator>JYOUKI</dc:creator>
  <cp:lastModifiedBy>fushunshi</cp:lastModifiedBy>
  <cp:lastPrinted>2024-06-05T13:47:00Z</cp:lastPrinted>
  <dcterms:modified xsi:type="dcterms:W3CDTF">2024-06-07T16:12:44Z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KSOProductBuildVer">
    <vt:lpwstr>2052-11.8.2.10422</vt:lpwstr>
  </property>
  <property fmtid="{D5CDD505-2E9C-101B-9397-08002B2CF9AE}" pid="4" name="ICV">
    <vt:lpwstr>0EC649688F2A420FB966B78953F874A5_13</vt:lpwstr>
  </property>
</Properties>
</file>